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r="http://schemas.openxmlformats.org/officeDocument/2006/relationships" xmlns:pic="http://schemas.openxmlformats.org/drawingml/2006/picture" xmlns:wp="http://schemas.openxmlformats.org/drawingml/2006/wordprocessingDrawing" xmlns:a="http://schemas.openxmlformats.org/drawingml/2006/main" xmlns:w="http://schemas.openxmlformats.org/wordprocessingml/2006/main" xmlns:mc="http://schemas.openxmlformats.org/markup-compatibility/2006" mc:Ignorable="w14">
  <w:body>
    <w:p w14:paraId="2E2CEF10">
      <w:pPr>
        <w:pStyle w:val="ahkdxm"/>
        <w:numPr/>
        <w:rPr>
          <w:rStyle w:val=""/>
          <w:sz w:val="32"/>
        </w:rPr>
      </w:pPr>
      <w:r>
        <w:rPr>
          <w:rStyle w:val=""/>
          <w:rFonts w:hint="eastAsia"/>
          <w:sz w:val="32"/>
        </w:rPr>
        <w:t>分账产品介绍及QA</w:t>
      </w:r>
    </w:p>
    <w:p w14:paraId="4C64F691">
      <w:pPr>
        <w:numPr/>
        <w:pBdr/>
      </w:pPr>
    </w:p>
    <w:p w14:paraId="1FED90E4">
      <w:pPr>
        <w:pStyle w:val="fvngkc"/>
        <w:pBdr/>
        <w:rPr>
          <w:color w:val="00B050"/>
          <w:sz w:val="24"/>
        </w:rPr>
      </w:pPr>
      <w:r>
        <w:rPr>
          <w:rFonts w:hint="eastAsia"/>
          <w:color w:val="00B050"/>
          <w:sz w:val="24"/>
        </w:rPr>
        <w:t>分账场景案例</w:t>
      </w:r>
    </w:p>
    <w:p w14:paraId="15CB45C3">
      <w:pPr>
        <w:pStyle w:val="5znyks"/>
        <w:numPr/>
        <w:pBdr/>
        <w:spacing w:after="240" w:line="373" w:lineRule="exact"/>
        <w:ind w:left="440" w:leftChars="200" w:right="0" w:firstLine="0"/>
        <w:jc w:val="left"/>
        <w:rPr>
          <w:color w:val="00B050"/>
          <w:sz w:val="28"/>
        </w:rPr>
      </w:pPr>
      <w:r>
        <w:rPr>
          <w:rStyle w:val=""/>
          <w:rFonts w:ascii="微软雅黑" w:hAnsi="微软雅黑" w:eastAsia="微软雅黑" w:cs="微软雅黑"/>
          <w:color w:val="000000"/>
          <w:sz w:val="22"/>
        </w:rPr>
        <w:fldChar w:fldCharType="begin"/>
      </w:r>
      <w:r>
        <w:rPr>
          <w:rStyle w:val=""/>
          <w:rFonts w:ascii="微软雅黑" w:hAnsi="微软雅黑" w:eastAsia="微软雅黑" w:cs="微软雅黑"/>
          <w:color w:val="000000"/>
          <w:sz w:val="22"/>
        </w:rPr>
        <w:instrText xml:space="preserve">HYPERLINK https://mp.weixin.qq.com/s/kIL0LEjZJwvlxzHGn7XPCg normalLink \tdkey qqleju \tdfe -10 \tdfn https%3A//mp.weixin.qq.com/s/kIL0LEjZJwvlxzHGn7XPCg \tdfu https://mp.weixin.qq.com/s/kIL0LEjZJwvlxzHGn7XPCg \tdlt inline </w:instrText>
      </w:r>
      <w:r>
        <w:rPr>
          <w:rStyle w:val=""/>
          <w:rFonts w:ascii="微软雅黑" w:hAnsi="微软雅黑" w:eastAsia="微软雅黑" w:cs="微软雅黑"/>
          <w:color w:val="000000"/>
          <w:sz w:val="22"/>
        </w:rPr>
        <w:fldChar w:fldCharType="separate"/>
      </w:r>
      <w:r>
        <w:rPr>
          <w:rStyle w:val="sc2vtw"/>
          <w:rFonts w:ascii="微软雅黑" w:hAnsi="微软雅黑" w:eastAsia="微软雅黑" w:cs="微软雅黑"/>
          <w:color w:val="000000"/>
          <w:sz w:val="22"/>
        </w:rPr>
        <w:t>https://mp.weixin.qq.com/s/kIL0LEjZJwvlxzHGn7XPCg</w:t>
      </w:r>
      <w:r>
        <w:rPr>
          <w:rStyle w:val=""/>
          <w:rFonts w:ascii="微软雅黑" w:hAnsi="微软雅黑" w:eastAsia="微软雅黑" w:cs="微软雅黑"/>
          <w:color w:val="000000"/>
          <w:sz w:val="22"/>
        </w:rPr>
        <w:fldChar w:fldCharType="end"/>
      </w:r>
    </w:p>
    <w:p w14:paraId="330079C3">
      <w:pPr>
        <w:pStyle w:val="5znyks"/>
        <w:numPr/>
        <w:pBdr>
          <w:bottom/>
        </w:pBdr>
        <w:spacing w:after="240" w:line="373" w:lineRule="exact"/>
        <w:ind w:leftChars="0" w:right="0" w:firstLine="0"/>
        <w:jc w:val="left"/>
        <w:rPr>
          <w:color w:val="00B050"/>
          <w:sz w:val="20"/>
        </w:rPr>
      </w:pPr>
    </w:p>
    <w:p w14:paraId="10C95CE1">
      <w:pPr>
        <w:pStyle w:val="fvngkc"/>
        <w:rPr>
          <w:color w:val="00B050"/>
          <w:sz w:val="24"/>
        </w:rPr>
      </w:pPr>
      <w:r>
        <w:rPr>
          <w:rFonts w:hint="eastAsia"/>
          <w:color w:val="00B050"/>
          <w:sz w:val="24"/>
        </w:rPr>
        <w:t>| 普通分账（含直连模式、服务商模式）</w:t>
      </w:r>
    </w:p>
    <w:p w14:paraId="3F379C88">
      <w:pPr>
        <w:pStyle w:val="5znyks"/>
        <w:numPr/>
        <w:pBdr>
          <w:bottom/>
        </w:pBdr>
        <w:spacing w:after="240" w:line="373" w:lineRule="exact"/>
        <w:ind w:left="440" w:leftChars="200" w:right="0" w:firstLine="0"/>
        <w:jc w:val="left"/>
        <w:rPr>
          <w:rStyle w:val=""/>
          <w:rFonts w:ascii="微软雅黑" w:hAnsi="微软雅黑" w:eastAsia="微软雅黑" w:cs="微软雅黑"/>
          <w:color w:val="000000"/>
          <w:sz w:val="22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2"/>
        </w:rPr>
        <w:t>适用于商户或服务商为某特约商户解决资金再次分配的需求</w:t>
      </w:r>
    </w:p>
    <w:p w14:paraId="13BE6415">
      <w:pPr>
        <w:pStyle w:val="04zz3m"/>
        <w:spacing w:line="312" w:lineRule="auto"/>
        <w:rPr>
          <w:sz w:val="22"/>
        </w:rPr>
      </w:pPr>
      <w:r>
        <w:rPr>
          <w:rFonts w:hint="eastAsia"/>
          <w:sz w:val="22"/>
        </w:rPr>
        <w:t>● 产品介绍</w:t>
      </w:r>
    </w:p>
    <w:p w14:paraId="5C7D4867">
      <w:pPr>
        <w:pStyle w:val="5znyks"/>
        <w:spacing w:line="312" w:lineRule="auto"/>
        <w:ind w:left="440" w:leftChars="200" w:right="0" w:firstLine="0"/>
        <w:rPr>
          <w:rStyle w:val=""/>
          <w:sz w:val="20"/>
        </w:rPr>
      </w:pPr>
      <w:r>
        <w:rPr>
          <w:rStyle w:val="iolvv3"/>
          <w:sz w:val="20"/>
        </w:rPr>
        <w:fldChar w:fldCharType="begin"/>
      </w:r>
      <w:r>
        <w:rPr>
          <w:rStyle w:val="iolvv3"/>
          <w:sz w:val="20"/>
        </w:rPr>
        <w:instrText>HYPERLINK https://pay.weixin.qq.com/doc/v3/merchant/4012067962 normalLink \tdfe -10 \tdlt text \tdsub normalLink \tdkey jf2hwx</w:instrText>
      </w:r>
      <w:r>
        <w:rPr>
          <w:rStyle w:val="iolvv3"/>
          <w:sz w:val="20"/>
        </w:rPr>
        <w:fldChar w:fldCharType="separate"/>
      </w:r>
      <w:r>
        <w:rPr>
          <w:rStyle w:val="ttf87c"/>
          <w:rFonts w:hint="eastAsia"/>
          <w:sz w:val="20"/>
        </w:rPr>
        <w:t>直连商户模式分账</w:t>
      </w:r>
      <w:r>
        <w:rPr>
          <w:rStyle w:val="iolvv3"/>
          <w:sz w:val="20"/>
        </w:rPr>
        <w:fldChar w:fldCharType="end"/>
      </w:r>
    </w:p>
    <w:p w14:paraId="6B49D5B7">
      <w:pPr>
        <w:pStyle w:val="5znyks"/>
        <w:spacing w:after="240" w:line="312" w:lineRule="auto"/>
        <w:ind w:left="440" w:leftChars="200" w:right="0" w:firstLine="0"/>
        <w:rPr>
          <w:rStyle w:val=""/>
          <w:sz w:val="20"/>
        </w:rPr>
      </w:pPr>
      <w:r>
        <w:rPr>
          <w:rStyle w:val="sc2vtw"/>
          <w:sz w:val="20"/>
        </w:rPr>
        <w:fldChar w:fldCharType="begin"/>
      </w:r>
      <w:r>
        <w:rPr>
          <w:rStyle w:val="sc2vtw"/>
          <w:sz w:val="20"/>
        </w:rPr>
        <w:instrText>HYPERLINK https://pay.weixin.qq.com/doc/v3/partner/4012072582 normalLink \tdfe -10 \tdlt text \tdsub normalLink \tdkey eb66ai</w:instrText>
      </w:r>
      <w:r>
        <w:rPr>
          <w:rStyle w:val="sc2vtw"/>
          <w:sz w:val="20"/>
        </w:rPr>
        <w:fldChar w:fldCharType="separate"/>
      </w:r>
      <w:r>
        <w:rPr>
          <w:rStyle w:val="sc2vtw"/>
          <w:rFonts w:hint="eastAsia"/>
          <w:sz w:val="20"/>
        </w:rPr>
        <w:t>服务商模式分账</w:t>
      </w:r>
      <w:r>
        <w:rPr>
          <w:rStyle w:val="sc2vtw"/>
          <w:sz w:val="20"/>
        </w:rPr>
        <w:fldChar w:fldCharType="end"/>
      </w:r>
    </w:p>
    <w:p w14:paraId="3FCAADC3">
      <w:pPr>
        <w:pStyle w:val="04zz3m"/>
        <w:spacing w:line="312" w:lineRule="auto"/>
        <w:rPr>
          <w:sz w:val="22"/>
        </w:rPr>
      </w:pPr>
      <w:r>
        <w:rPr>
          <w:rFonts w:hint="eastAsia"/>
          <w:sz w:val="22"/>
        </w:rPr>
        <w:t>● 补充说明</w:t>
      </w:r>
    </w:p>
    <w:p w14:paraId="302CC726">
      <w:pPr>
        <w:pStyle w:val="5znyks"/>
        <w:numPr>
          <w:ilvl w:val="0"/>
          <w:numId w:val="1"/>
        </w:numPr>
        <w:pBdr/>
        <w:spacing w:line="240" w:lineRule="auto"/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需要商户主动开通，或者服务商邀请特约商户主动授权</w:t>
      </w:r>
    </w:p>
    <w:p w14:paraId="377580BF">
      <w:pPr>
        <w:pStyle w:val="5znyks"/>
        <w:numPr>
          <w:ilvl w:val="0"/>
          <w:numId w:val="1"/>
        </w:numPr>
        <w:pBdr/>
        <w:spacing w:line="240" w:lineRule="auto"/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服务商模式下，最大分账比例按特约商户维度管理，举例：服务商下A商户最大分账比例10%，B商户为20%</w:t>
      </w:r>
    </w:p>
    <w:p w14:paraId="0A3B1428">
      <w:pPr>
        <w:pStyle w:val="5znyks"/>
        <w:numPr>
          <w:ilvl w:val="0"/>
          <w:numId w:val="1"/>
        </w:numPr>
        <w:pBdr/>
        <w:spacing w:line="240" w:lineRule="auto"/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服务商模式下，分账接收方列表按特约商户维度管理</w:t>
      </w:r>
    </w:p>
    <w:p w14:paraId="60FC6804">
      <w:pPr>
        <w:pStyle w:val="5znyks"/>
        <w:numPr>
          <w:ilvl w:val="0"/>
          <w:numId w:val="1"/>
        </w:numPr>
        <w:pBdr/>
        <w:spacing w:line="240" w:lineRule="auto"/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服务商模式下，最长分账冻结周期按服务商维度管理</w:t>
      </w:r>
    </w:p>
    <w:p w14:paraId="67CAAF3E">
      <w:pPr>
        <w:pStyle w:val="5znyks"/>
        <w:numPr>
          <w:ilvl w:val="0"/>
          <w:numId w:val="1"/>
        </w:numPr>
        <w:pBdr/>
        <w:spacing w:line="240" w:lineRule="auto"/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服务商模式下，分账回退需要特约商户单独开启，暂不支持小微商户分账回退，不支持对用户类型接收方分账回退</w:t>
      </w:r>
    </w:p>
    <w:p w14:paraId="25A4F5E7">
      <w:pPr>
        <w:pStyle w:val="5znyks"/>
        <w:numPr>
          <w:ilvl w:val="0"/>
          <w:numId w:val="1"/>
        </w:numPr>
        <w:pBdr/>
        <w:spacing w:line="240" w:lineRule="auto"/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分账最大可分金额=订单金额*分账比例</w:t>
      </w:r>
    </w:p>
    <w:p w14:paraId="437289F7">
      <w:pPr>
        <w:numPr/>
        <w:pBdr/>
        <w:ind/>
      </w:pPr>
    </w:p>
    <w:p w14:paraId="613AA5F6">
      <w:pPr>
        <w:numPr/>
        <w:pBdr/>
        <w:ind/>
      </w:pPr>
    </w:p>
    <w:p w14:paraId="463924FF">
      <w:pPr>
        <w:pStyle w:val="fvngkc"/>
        <w:numPr/>
        <w:rPr>
          <w:color w:val="00B050"/>
          <w:sz w:val="24"/>
        </w:rPr>
      </w:pPr>
      <w:r>
        <w:rPr>
          <w:rFonts w:hint="eastAsia"/>
          <w:color w:val="00B050"/>
          <w:sz w:val="24"/>
        </w:rPr>
        <w:t>| 连锁品牌分账（服务商模式）</w:t>
      </w:r>
    </w:p>
    <w:p w14:paraId="004F6B20">
      <w:pPr>
        <w:pStyle w:val="5znyks"/>
        <w:numPr/>
        <w:pBdr>
          <w:bottom/>
        </w:pBdr>
        <w:spacing w:after="240" w:line="373" w:lineRule="exact"/>
        <w:ind w:left="440" w:leftChars="200" w:right="0" w:firstLine="0"/>
        <w:jc w:val="left"/>
        <w:rPr>
          <w:rStyle w:val=""/>
          <w:rFonts w:ascii="Microsoft YaHei" w:hAnsi="Microsoft YaHei" w:eastAsia="Microsoft YaHei" w:cs="Microsoft YaHei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2"/>
        </w:rPr>
        <w:t>适用于连锁业态商户关系间资金划拨需求</w:t>
      </w:r>
    </w:p>
    <w:p w14:paraId="57F6E86A">
      <w:pPr>
        <w:pStyle w:val="04zz3m"/>
        <w:numPr/>
        <w:spacing w:line="312" w:lineRule="auto"/>
        <w:rPr>
          <w:sz w:val="22"/>
        </w:rPr>
      </w:pPr>
      <w:r>
        <w:rPr>
          <w:rFonts w:hint="eastAsia"/>
          <w:sz w:val="22"/>
        </w:rPr>
        <w:t>● 产品介绍</w:t>
      </w:r>
    </w:p>
    <w:p w14:paraId="3C6DEAFE">
      <w:pPr>
        <w:pStyle w:val="5znyks"/>
        <w:numPr/>
        <w:pBdr/>
        <w:spacing w:after="240" w:line="312" w:lineRule="auto"/>
        <w:ind w:left="440" w:leftChars="200" w:right="0" w:firstLine="0"/>
        <w:rPr>
          <w:rStyle w:val=""/>
          <w:sz w:val="20"/>
        </w:rPr>
      </w:pPr>
      <w:r>
        <w:rPr>
          <w:rStyle w:val="sc2vtw"/>
          <w:sz w:val="20"/>
        </w:rPr>
        <w:fldChar w:fldCharType="begin"/>
      </w:r>
      <w:r>
        <w:rPr>
          <w:rStyle w:val="sc2vtw"/>
          <w:sz w:val="20"/>
        </w:rPr>
        <w:instrText>HYPERLINK https://pay.weixin.qq.com/doc/v3/partner/4012072620 normalLink \tdfe -10 \tdlt text \tdsub normalLink \tdkey nvmw4t</w:instrText>
      </w:r>
      <w:r>
        <w:rPr>
          <w:rStyle w:val="sc2vtw"/>
          <w:sz w:val="20"/>
        </w:rPr>
        <w:fldChar w:fldCharType="separate"/>
      </w:r>
      <w:r>
        <w:rPr>
          <w:rStyle w:val="sc2vtw"/>
          <w:rFonts w:hint="eastAsia"/>
          <w:sz w:val="20"/>
        </w:rPr>
        <w:t>连锁品牌分账产品介绍</w:t>
      </w:r>
      <w:r>
        <w:rPr>
          <w:rStyle w:val="sc2vtw"/>
          <w:sz w:val="20"/>
        </w:rPr>
        <w:fldChar w:fldCharType="end"/>
      </w:r>
    </w:p>
    <w:p w14:paraId="13F6B889">
      <w:pPr>
        <w:pStyle w:val="04zz3m"/>
        <w:numPr/>
        <w:pBdr/>
        <w:spacing w:line="312" w:lineRule="auto"/>
        <w:rPr>
          <w:sz w:val="22"/>
        </w:rPr>
      </w:pPr>
      <w:r>
        <w:rPr>
          <w:rFonts w:hint="eastAsia"/>
          <w:sz w:val="22"/>
        </w:rPr>
        <w:t>● 补充说明</w:t>
      </w:r>
    </w:p>
    <w:p w14:paraId="00793007">
      <w:pPr>
        <w:pStyle w:val="5znyks"/>
        <w:numPr>
          <w:ilvl w:val="0"/>
          <w:numId w:val="2"/>
        </w:numPr>
        <w:pBdr/>
        <w:spacing w:line="240" w:lineRule="auto"/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门店加入品牌后，默认开通分账能力，支持品牌授权分账能力的服务商，替门店商户号发起分账（需要为同一服务商下的交易订单，不支持A服务商针对B服务商的订单发起分账）</w:t>
      </w:r>
    </w:p>
    <w:p w14:paraId="7DAC3B45">
      <w:pPr>
        <w:pStyle w:val="5znyks"/>
        <w:numPr>
          <w:ilvl w:val="0"/>
          <w:numId w:val="2"/>
        </w:numPr>
        <w:pBdr/>
        <w:spacing w:line="240" w:lineRule="auto"/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默认开启分账回退能力（仅支持分账到商户号的分账回退，分账到用户不支持回退）</w:t>
      </w:r>
    </w:p>
    <w:p w14:paraId="44CB3D76">
      <w:pPr>
        <w:pStyle w:val="5znyks"/>
        <w:numPr>
          <w:ilvl w:val="0"/>
          <w:numId w:val="2"/>
        </w:numPr>
        <w:pBdr/>
        <w:spacing w:line="240" w:lineRule="auto"/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最大分账比例、分账接收方列表、最长分账冻结周期均按品牌维度管理</w:t>
      </w:r>
    </w:p>
    <w:p w14:paraId="456C5709">
      <w:pPr>
        <w:pStyle w:val="5znyks"/>
        <w:numPr>
          <w:ilvl w:val="0"/>
          <w:numId w:val="2"/>
        </w:numPr>
        <w:pBdr/>
        <w:spacing w:line="240" w:lineRule="auto"/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分账最大可分金额=订单金额*分账</w:t>
      </w:r>
    </w:p>
    <w:p w14:paraId="67356F99">
      <w:pPr>
        <w:numPr/>
        <w:pBdr/>
        <w:ind w:left="0"/>
      </w:pPr>
    </w:p>
    <w:p w14:paraId="06FE800A">
      <w:pPr>
        <w:numPr/>
        <w:pBdr/>
        <w:ind w:left="0"/>
      </w:pPr>
    </w:p>
    <w:p w14:paraId="7700A429">
      <w:pPr>
        <w:pStyle w:val="fvngkc"/>
        <w:numPr/>
        <w:rPr>
          <w:color w:val="00B050"/>
          <w:sz w:val="24"/>
        </w:rPr>
      </w:pPr>
      <w:r>
        <w:rPr>
          <w:rFonts w:hint="eastAsia"/>
          <w:color w:val="00B050"/>
          <w:sz w:val="24"/>
        </w:rPr>
        <w:t>| 收付通分账</w:t>
      </w:r>
    </w:p>
    <w:p w14:paraId="12A4CD76">
      <w:pPr>
        <w:pStyle w:val="5znyks"/>
        <w:numPr/>
        <w:pBdr>
          <w:bottom/>
        </w:pBdr>
        <w:spacing w:after="240" w:line="373" w:lineRule="exact"/>
        <w:ind w:left="440" w:right="0" w:firstLine="0"/>
        <w:jc w:val="left"/>
        <w:rPr>
          <w:rStyle w:val=""/>
          <w:rFonts w:ascii="微软雅黑" w:hAnsi="微软雅黑" w:eastAsia="微软雅黑" w:cs="微软雅黑"/>
          <w:color w:val="000000"/>
          <w:sz w:val="22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2"/>
        </w:rPr>
        <w:t>适用于具备强管控资金能力的平台型商户的资金划拨需求，例如电商平台，物流平台等</w:t>
      </w:r>
    </w:p>
    <w:p w14:paraId="612C52E3">
      <w:pPr>
        <w:pStyle w:val="04zz3m"/>
        <w:numPr/>
        <w:spacing w:line="312" w:lineRule="auto"/>
        <w:rPr>
          <w:sz w:val="22"/>
        </w:rPr>
      </w:pPr>
      <w:r>
        <w:rPr>
          <w:rFonts w:hint="eastAsia"/>
          <w:sz w:val="22"/>
        </w:rPr>
        <w:t>● 产品介绍</w:t>
      </w:r>
    </w:p>
    <w:p w14:paraId="4C323C6D">
      <w:pPr>
        <w:pStyle w:val="5znyks"/>
        <w:numPr/>
        <w:pBdr/>
        <w:spacing w:after="240" w:line="312" w:lineRule="auto"/>
        <w:ind w:left="440" w:right="0" w:firstLine="0"/>
        <w:rPr>
          <w:rStyle w:val=""/>
          <w:sz w:val="20"/>
        </w:rPr>
      </w:pPr>
      <w:r>
        <w:rPr>
          <w:rStyle w:val="sc2vtw"/>
          <w:sz w:val="20"/>
        </w:rPr>
        <w:fldChar w:fldCharType="begin"/>
      </w:r>
      <w:r>
        <w:rPr>
          <w:rStyle w:val="sc2vtw"/>
          <w:sz w:val="20"/>
        </w:rPr>
        <w:instrText>HYPERLINK https://pay.weixin.qq.com/doc/v3/partner/4012086891#%E4%BD%BF%E7%94%A8%E5%9C%BA%E6%99%AF normalLink \tdfe -10 \tdlt text \tdsub normalLink \tdkey qwbfch</w:instrText>
      </w:r>
      <w:r>
        <w:rPr>
          <w:rStyle w:val="sc2vtw"/>
          <w:sz w:val="20"/>
        </w:rPr>
        <w:fldChar w:fldCharType="separate"/>
      </w:r>
      <w:r>
        <w:rPr>
          <w:rStyle w:val="sc2vtw"/>
          <w:rFonts w:hint="eastAsia"/>
          <w:sz w:val="20"/>
        </w:rPr>
        <w:t>收付通产品介绍</w:t>
      </w:r>
      <w:r>
        <w:rPr>
          <w:rStyle w:val="sc2vtw"/>
          <w:sz w:val="20"/>
        </w:rPr>
        <w:fldChar w:fldCharType="end"/>
      </w:r>
    </w:p>
    <w:p w14:paraId="21B26591">
      <w:pPr>
        <w:pStyle w:val="04zz3m"/>
        <w:numPr/>
        <w:pBdr/>
        <w:spacing w:line="312" w:lineRule="auto"/>
        <w:rPr>
          <w:sz w:val="22"/>
        </w:rPr>
      </w:pPr>
      <w:r>
        <w:rPr>
          <w:rFonts w:hint="eastAsia"/>
          <w:sz w:val="22"/>
        </w:rPr>
        <w:t>● 补充说明</w:t>
      </w:r>
    </w:p>
    <w:p w14:paraId="6592E9DA">
      <w:pPr>
        <w:pStyle w:val="5znyks"/>
        <w:numPr>
          <w:ilvl w:val="0"/>
          <w:numId w:val="3"/>
        </w:numPr>
        <w:pBdr/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二级商户通过进件接口完成商户号注册后，默认收付通分账能力（银行、支付机构、保险、交易及结算类金融机构基于合规管理要求，不支持开通分账能力）</w:t>
      </w:r>
    </w:p>
    <w:p w14:paraId="61ED4314">
      <w:pPr>
        <w:pStyle w:val="5znyks"/>
        <w:numPr>
          <w:ilvl w:val="0"/>
          <w:numId w:val="3"/>
        </w:numPr>
        <w:pBdr/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默认开启分账回退能力（仅支持分账到商户号的分账回退，分账到用户不支持回退）</w:t>
      </w:r>
    </w:p>
    <w:p w14:paraId="2AEE715B">
      <w:pPr>
        <w:pStyle w:val="5znyks"/>
        <w:numPr>
          <w:ilvl w:val="0"/>
          <w:numId w:val="3"/>
        </w:numPr>
        <w:pBdr/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最大分账比例、分账接收方列表、最长分账冻结周期均按平台维度管理</w:t>
      </w:r>
    </w:p>
    <w:p w14:paraId="39038FEC">
      <w:pPr>
        <w:pStyle w:val="5znyks"/>
        <w:numPr>
          <w:ilvl w:val="0"/>
          <w:numId w:val="3"/>
        </w:numPr>
        <w:pBdr>
          <w:bottom/>
        </w:pBdr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分账最大可分金额=（订单金额+补差金额）*分账比例</w:t>
      </w:r>
    </w:p>
    <w:p w14:paraId="5ADBF7FE">
      <w:pPr>
        <w:pStyle w:val="5znyks"/>
        <w:pBdr/>
        <w:ind w:left="0" w:right="0"/>
        <w:rPr>
          <w:rStyle w:val=""/>
          <w:rFonts w:ascii="微软雅黑" w:hAnsi="微软雅黑" w:eastAsia="微软雅黑" w:cs="微软雅黑"/>
          <w:color w:val="000000"/>
          <w:sz w:val="20"/>
        </w:rPr>
      </w:pPr>
    </w:p>
    <w:p w14:paraId="7493DFF1">
      <w:pPr>
        <w:pStyle w:val="5znyks"/>
        <w:pBdr/>
        <w:ind w:left="0" w:right="0"/>
        <w:rPr>
          <w:rStyle w:val=""/>
          <w:rFonts w:ascii="微软雅黑" w:hAnsi="微软雅黑" w:eastAsia="微软雅黑" w:cs="微软雅黑"/>
          <w:color w:val="000000"/>
          <w:sz w:val="20"/>
        </w:rPr>
      </w:pPr>
    </w:p>
    <w:p w14:paraId="04ECF705">
      <w:pPr>
        <w:pStyle w:val="fvngkc"/>
        <w:numPr/>
        <w:pBdr/>
        <w:rPr>
          <w:color w:val="00B050"/>
          <w:sz w:val="24"/>
        </w:rPr>
      </w:pPr>
      <w:r>
        <w:rPr>
          <w:rFonts w:hint="eastAsia"/>
          <w:color w:val="00B050"/>
          <w:sz w:val="24"/>
        </w:rPr>
        <w:t>| 常见问题QA</w:t>
      </w:r>
    </w:p>
    <w:p w14:paraId="24F95829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Q1: 分账订单发生退款了怎么办？</w:t>
      </w:r>
    </w:p>
    <w:p w14:paraId="45008742">
      <w:pPr>
        <w:numPr/>
        <w:snapToGrid w:val="0"/>
        <w:spacing w:line="240" w:lineRule="auto"/>
        <w:ind w:left="0" w:hangingChars="170"/>
        <w:rPr>
          <w:rStyle w:val=""/>
          <w:rFonts w:ascii="微软雅黑" w:hAnsi="微软雅黑" w:eastAsia="微软雅黑" w:cs="微软雅黑"/>
          <w:b w:val="0"/>
          <w:i w:val="0"/>
          <w:color w:val="222222"/>
          <w:spacing w:val="0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b w:val="0"/>
          <w:i w:val="0"/>
          <w:color w:val="222222"/>
          <w:spacing w:val="0"/>
          <w:sz w:val="20"/>
          <w:shd w:val="clear" w:color="auto" w:fill="FFFFFF"/>
        </w:rPr>
        <w:t>A1: 订单分账之前的发生退款，退款资金是从分账冻结资金中出款，未退款的待分账资金可以继续分账；订单分账之后发生退款，在接收方同意分账回退的情况下，资金先可以从接收方（仅限商户类型）的账户中回退至分账方账户，再进行退款。</w:t>
      </w:r>
    </w:p>
    <w:p w14:paraId="79BEC44B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b w:val="0"/>
          <w:i w:val="0"/>
          <w:color w:val="222222"/>
          <w:spacing w:val="0"/>
          <w:sz w:val="20"/>
          <w:shd w:val="clear" w:color="auto" w:fill="FFFFFF"/>
        </w:rPr>
      </w:pPr>
      <w:r>
        <w:rPr>
          <w:rFonts w:ascii="微软雅黑" w:hAnsi="微软雅黑" w:eastAsia="微软雅黑" w:cs="微软雅黑"/>
        </w:rPr>
        <w:drawing>
          <wp:inline distT="0" distB="0" distL="0" distR="0">
            <wp:extent cx="5722620" cy="2703147"/>
            <wp:effectExtent l="0" t="0" r="0" b="0"/>
            <wp:docPr id="2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picture" descr="descript"/>
                    <pic:cNvPicPr/>
                  </pic:nvPicPr>
                  <pic:blipFill rotWithShape="1">
                    <a:blip r:embed="rId4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27031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FE5285A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b w:val="0"/>
          <w:i w:val="0"/>
          <w:color w:val="222222"/>
          <w:spacing w:val="0"/>
          <w:sz w:val="20"/>
          <w:shd w:val="clear" w:color="auto" w:fill="FFFFFF"/>
        </w:rPr>
      </w:pPr>
    </w:p>
    <w:p w14:paraId="6FCA7295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Q2: 之前使用过普通分账的API，现在开通连锁品牌的高比例分账功能，是否要更新API？</w:t>
      </w:r>
    </w:p>
    <w:p w14:paraId="4DA725F1">
      <w:pPr>
        <w:numPr/>
        <w:pBdr/>
        <w:snapToGrid w:val="0"/>
        <w:spacing w:line="240" w:lineRule="auto"/>
        <w:ind w:left="0" w:hangingChars="17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A2: 入参需要更新，我们提供普通分账与连锁品牌分账的兼容接口https://pay.weixin.qq.com/wiki/doc/api/allocation_sl.php?chapter=25_6&amp;index=2</w:t>
      </w:r>
    </w:p>
    <w:p w14:paraId="0180996E">
      <w:pPr>
        <w:numPr/>
        <w:snapToGrid w:val="0"/>
        <w:spacing w:line="240" w:lineRule="auto"/>
        <w:ind w:left="374" w:firstLineChars="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在原有的单次分账、多次分账接口中，我们增加了“品牌主商户号”的入参。如果传入品牌主商户号，我们直接获取品牌组主配置的分账基础比例和分账接收方信息。</w:t>
      </w:r>
    </w:p>
    <w:p w14:paraId="451ECE6D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b w:val="0"/>
          <w:i w:val="0"/>
          <w:color w:val="222222"/>
          <w:spacing w:val="0"/>
          <w:sz w:val="20"/>
          <w:shd w:val="clear" w:color="auto" w:fill="FFFFFF"/>
        </w:rPr>
      </w:pPr>
      <w:r>
        <w:rPr>
          <w:rFonts w:ascii="微软雅黑" w:hAnsi="微软雅黑" w:eastAsia="微软雅黑" w:cs="微软雅黑"/>
        </w:rPr>
        <w:drawing>
          <wp:inline distT="0" distB="0" distL="0" distR="0">
            <wp:extent cx="5722620" cy="3216082"/>
            <wp:effectExtent l="0" t="0" r="0" b="0"/>
            <wp:docPr id="5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picture" descr="descript"/>
                    <pic:cNvPicPr/>
                  </pic:nvPicPr>
                  <pic:blipFill rotWithShape="1">
                    <a:blip r:embed="rId5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32160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66D65A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38F6B7CB">
      <w:pPr>
        <w:pStyle w:val="04zz3m"/>
        <w:numPr/>
        <w:pBd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Q3: 普通分账与品牌供应链分账的区别</w:t>
      </w:r>
    </w:p>
    <w:p w14:paraId="6E95276C">
      <w:pPr>
        <w:pStyle w:val="5znyks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b w:val="0"/>
          <w:i w:val="0"/>
          <w:color w:val="222222"/>
          <w:spacing w:val="0"/>
          <w:sz w:val="20"/>
          <w:shd w:val="clear" w:color="auto" w:fill="FFFFFF"/>
        </w:rPr>
        <w:t xml:space="preserve">Q3: 详见下图 </w:t>
      </w:r>
    </w:p>
    <w:p w14:paraId="2201E669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b w:val="0"/>
          <w:i w:val="0"/>
          <w:color w:val="222222"/>
          <w:spacing w:val="0"/>
          <w:sz w:val="20"/>
          <w:shd w:val="clear" w:color="auto" w:fill="FFFFFF"/>
        </w:rPr>
      </w:pPr>
      <w:r>
        <w:rPr>
          <w:rFonts w:ascii="微软雅黑" w:hAnsi="微软雅黑" w:eastAsia="微软雅黑" w:cs="微软雅黑"/>
        </w:rPr>
        <w:drawing>
          <wp:inline distT="0" distB="0" distL="0" distR="0">
            <wp:extent cx="5722620" cy="1666477"/>
            <wp:effectExtent l="0" t="0" r="0" b="0"/>
            <wp:docPr id="8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picture" descr="descript"/>
                    <pic:cNvPicPr/>
                  </pic:nvPicPr>
                  <pic:blipFill rotWithShape="1">
                    <a:blip r:embed="rId6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16664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F1D72A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b w:val="0"/>
          <w:i w:val="0"/>
          <w:color w:val="222222"/>
          <w:spacing w:val="0"/>
          <w:sz w:val="20"/>
          <w:shd w:val="clear" w:color="auto" w:fill="FFFFFF"/>
        </w:rPr>
      </w:pPr>
      <w:r>
        <w:rPr>
          <w:rFonts w:ascii="微软雅黑" w:hAnsi="微软雅黑" w:eastAsia="微软雅黑" w:cs="微软雅黑"/>
        </w:rPr>
        <w:drawing>
          <wp:inline distT="0" distB="0" distL="0" distR="0">
            <wp:extent cx="5722620" cy="1502974"/>
            <wp:effectExtent l="0" t="0" r="0" b="0"/>
            <wp:docPr id="11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picture" descr="descript"/>
                    <pic:cNvPicPr/>
                  </pic:nvPicPr>
                  <pic:blipFill rotWithShape="1">
                    <a:blip r:embed="rId7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15029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BD2CBC">
      <w:pPr>
        <w:pStyle w:val="04zz3m"/>
        <w:numPr/>
        <w:pBd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</w:p>
    <w:p w14:paraId="27ED7113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Q4: 分账可以分给哪些接收方？一笔订单最多可以分给多少分账接收方？</w:t>
      </w:r>
    </w:p>
    <w:p w14:paraId="3D00E17F">
      <w:pPr>
        <w:numPr/>
        <w:snapToGrid w:val="0"/>
        <w:spacing w:line="240" w:lineRule="auto"/>
        <w:ind w:left="0" w:hangingChars="170"/>
        <w:rPr>
          <w:rStyle w:val=""/>
          <w:rFonts w:ascii="微软雅黑" w:hAnsi="微软雅黑" w:eastAsia="微软雅黑" w:cs="微软雅黑"/>
          <w:b w:val="0"/>
          <w:i w:val="0"/>
          <w:color w:val="222222"/>
          <w:spacing w:val="0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A4: 分账可以分给微信支付的商户账户（非银行账户）或者微信支付的用户零钱账户，一笔订单最多可以分给50个分账接收方。</w:t>
      </w:r>
    </w:p>
    <w:p w14:paraId="5348856E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785B8604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Q5: 分账对账怎么处理？</w:t>
      </w:r>
    </w:p>
    <w:p w14:paraId="70836BFB">
      <w:pPr>
        <w:numPr/>
        <w:snapToGrid w:val="0"/>
        <w:spacing w:line="240" w:lineRule="auto"/>
        <w:ind w:left="0" w:hangingChars="170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A5: 通过分账账单来对账，获取分账账单通过在微信支付开放平台官网网页下载，在商户平台-交易中心-分账-分账账单里面手动下载，或通过API的方式获取。</w:t>
      </w:r>
    </w:p>
    <w:p w14:paraId="16BB840B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0235FC67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Q6: 能否按单品分账，不分账的产品就不用分了？</w:t>
      </w:r>
    </w:p>
    <w:p w14:paraId="39CA2D2A">
      <w:pPr>
        <w:numPr/>
        <w:snapToGrid w:val="0"/>
        <w:spacing w:line="240" w:lineRule="auto"/>
        <w:ind w:left="0" w:hangingChars="17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A6: 可以，服务商把单品分账逻辑设置在系统里实现。遇到指定单品需要分账时再调分账接口，每个商品都可以设置独立分账比例，回传平台每个商品SKU的分账金额。</w:t>
      </w:r>
    </w:p>
    <w:p w14:paraId="5F015199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2A275BC4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Q7: 已分账的金额暂不支持退款及部分退款吗</w:t>
      </w: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？</w:t>
      </w:r>
    </w:p>
    <w:p w14:paraId="63874655">
      <w:pPr>
        <w:numPr/>
        <w:snapToGrid w:val="0"/>
        <w:spacing w:line="240" w:lineRule="auto"/>
        <w:ind w:left="0" w:hangingChars="17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A7: 订单分账之后发生退款，在接收方同意分账回退的情况下，资金先可以从接收方（仅限商户类型）的账户中回退至分账方账户，再进行退款 。如接收方是用户，订单分账之后发生退款，则不可分账回退。</w:t>
      </w:r>
    </w:p>
    <w:p w14:paraId="01489D56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13FAE0BA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Q8: 普通分账和品牌分账开通流程分别是怎么样的？</w:t>
      </w:r>
    </w:p>
    <w:p w14:paraId="766DEFA8">
      <w:pPr>
        <w:numPr/>
        <w:snapToGrid w:val="0"/>
        <w:spacing w:line="240" w:lineRule="auto"/>
        <w:ind w:left="0" w:hangingChars="17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A4: 普通分账低比例时自助开通，普通分账高比例需邮件提交协议。后者品牌供应链分账，需要先开通品牌工具箱，开通品牌工具箱后，自动开通品牌供应链分账。</w:t>
      </w:r>
    </w:p>
    <w:p w14:paraId="08951716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0F331C9E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Q9: 已开通手续费账户模式，支持分账吗</w:t>
      </w:r>
    </w:p>
    <w:p w14:paraId="5AB3356B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A9: 支持</w:t>
      </w:r>
    </w:p>
    <w:p w14:paraId="7CFA199A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687EA8DC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Q10: 接受方均需开通微信商户账户/个人零钱?</w:t>
      </w:r>
    </w:p>
    <w:p w14:paraId="5539A41F">
      <w:pPr>
        <w:numPr/>
        <w:pBdr/>
        <w:snapToGrid w:val="0"/>
        <w:spacing w:line="240" w:lineRule="auto"/>
        <w:ind w:left="0" w:hangingChars="23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A10: 需要。如分账给商户或服务商，则需要有微信支付商户账号。</w:t>
      </w:r>
    </w:p>
    <w:p w14:paraId="5363D998">
      <w:pPr>
        <w:numPr/>
        <w:snapToGrid w:val="0"/>
        <w:spacing w:line="240" w:lineRule="auto"/>
        <w:ind w:left="1100" w:hangingChars="23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如分账给个人，则个人需开通零钱。</w:t>
      </w:r>
    </w:p>
    <w:p w14:paraId="7513F536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57074F42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Q11: 服务商不可代子商户进行提现吗？只能商户自主微信平台进行提现吗</w:t>
      </w: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？</w:t>
      </w:r>
    </w:p>
    <w:p w14:paraId="5C5E16BE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A11: 不可以。是的。</w:t>
      </w:r>
    </w:p>
    <w:p w14:paraId="7E073E28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1748AD1B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Q12: 分账接收方的资金支持自动提现吗？</w:t>
      </w:r>
    </w:p>
    <w:p w14:paraId="1D3D6469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A12: 支持，当前需要联系客服开通“按账户日终余额”提现</w:t>
      </w:r>
    </w:p>
    <w:p w14:paraId="3F644079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7E9F7A4B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Q13: 分账冻结期可以灵活调整吗</w:t>
      </w: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？</w:t>
      </w:r>
    </w:p>
    <w:p w14:paraId="0DEB7F07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A13: 可以，普通分账账期时效范围，从及时到30天，品牌分账账期从即时到180天。</w:t>
      </w:r>
    </w:p>
    <w:p w14:paraId="2F3C4797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22DC4E59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Q14: 可以全额分账给单个分账对象？</w:t>
      </w:r>
      <w:r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  <w:t xml:space="preserve"> </w:t>
      </w:r>
    </w:p>
    <w:p w14:paraId="42C8BD44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A14: 可以，需要申请高比例分账</w:t>
      </w:r>
    </w:p>
    <w:p w14:paraId="64F6913A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2680DBE3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Q15: 账能多次分给同一个账户吗？</w:t>
      </w:r>
    </w:p>
    <w:p w14:paraId="14C9DB97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A15: 可以</w:t>
      </w:r>
    </w:p>
    <w:p w14:paraId="3691F370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4FFBF032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Q16: 分账接受方能是微信支付服务商吗</w:t>
      </w: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？</w:t>
      </w:r>
    </w:p>
    <w:p w14:paraId="1A7A91A4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A16: 能</w:t>
      </w:r>
    </w:p>
    <w:p w14:paraId="3C3CBC26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556D2F40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Q17: 直连商户和服务商都可以做分账吗？</w:t>
      </w:r>
    </w:p>
    <w:p w14:paraId="424E0FD4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A17: 是的</w:t>
      </w:r>
    </w:p>
    <w:p w14:paraId="648727D5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51FDF18D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Q18: 交易账单可以直接体现分账和冻结数据吗？</w:t>
      </w:r>
    </w:p>
    <w:p w14:paraId="4D784029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A18: 不能，分账对账请用交易账单或资金账单。</w:t>
      </w:r>
    </w:p>
    <w:p w14:paraId="6FB36CBD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</w:p>
    <w:p w14:paraId="3196E2CA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Q19: 对分账方和接收方，与服务商进件关系有限制吗?</w:t>
      </w:r>
    </w:p>
    <w:p w14:paraId="209D79C0">
      <w:pPr>
        <w:numPr/>
        <w:snapToGrid w:val="0"/>
        <w:spacing w:line="240" w:lineRule="auto"/>
        <w:ind w:left="0" w:hangingChars="23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A19: 分账方需是服务商的特约子商户， 接收方不限，可以是服务商的其他特约子商户号，也可以直连商户号，也可以其他服务商的特约子商户号，也可以是个人零钱用户。</w:t>
      </w:r>
    </w:p>
    <w:p w14:paraId="415611C1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</w:p>
    <w:p w14:paraId="59871323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Q20: 分账比例计算方式，最高可分多少？</w:t>
      </w:r>
    </w:p>
    <w:p w14:paraId="002B8C92">
      <w:pPr>
        <w:numPr/>
        <w:pBdr/>
        <w:snapToGrid w:val="0"/>
        <w:spacing w:line="240" w:lineRule="auto"/>
        <w:ind w:left="0" w:hangingChars="230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  <w:t xml:space="preserve">A20: </w:t>
      </w: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分账最大可分金额=（订单金额+补差金额）*分账比例</w:t>
      </w:r>
    </w:p>
    <w:p w14:paraId="54135190">
      <w:pPr>
        <w:numPr/>
        <w:snapToGrid w:val="0"/>
        <w:spacing w:line="240" w:lineRule="auto"/>
        <w:ind w:left="0" w:firstLineChars="0"/>
        <w:rPr>
          <w:rStyle w:val=""/>
          <w:rFonts w:ascii="微软雅黑" w:hAnsi="微软雅黑" w:eastAsia="微软雅黑" w:cs="微软雅黑"/>
          <w:color w:val="000000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例如：10元的订单，补差5元，最高分账比例为30%，即该笔订单最大可分金额=（1000分+500分）*30%=450分。</w:t>
      </w:r>
      <w:r>
        <w:rPr>
          <w:rStyle w:val=""/>
          <w:rFonts w:hint="eastAsia" w:ascii="微软雅黑" w:hAnsi="微软雅黑" w:eastAsia="微软雅黑" w:cs="微软雅黑"/>
          <w:color w:val="000000"/>
          <w:sz w:val="20"/>
          <w:shd w:val="clear" w:color="auto" w:fill="FFFFFF"/>
        </w:rPr>
        <w:t>其中：订单金额与支付下单接口订单金额字段一致</w:t>
      </w:r>
    </w:p>
    <w:p w14:paraId="17AC65BC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  <w:r>
        <w:rPr/>
        <w:drawing>
          <wp:inline distT="0" distB="0" distL="0" distR="0">
            <wp:extent cx="5722620" cy="1971891"/>
            <wp:effectExtent l="0" t="0" r="0" b="0"/>
            <wp:docPr id="14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picture" descr="descript"/>
                    <pic:cNvPicPr/>
                  </pic:nvPicPr>
                  <pic:blipFill rotWithShape="1">
                    <a:blip r:embed="rId8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19718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F3412B">
      <w:pPr>
        <w:pStyle w:val="5znyks"/>
        <w:numPr/>
        <w:spacing w:before="120" w:after="120"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0D6C7B7C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Q21：特约商户授权服务商分账功能指引</w:t>
      </w:r>
    </w:p>
    <w:p w14:paraId="72F153BA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b w:val="1"/>
          <w:sz w:val="20"/>
        </w:rPr>
      </w:pPr>
      <w:r>
        <w:rPr>
          <w:rStyle w:val=""/>
          <w:rFonts w:hint="eastAsia" w:ascii="微软雅黑" w:hAnsi="微软雅黑" w:eastAsia="微软雅黑" w:cs="微软雅黑"/>
          <w:b w:val="1"/>
          <w:sz w:val="20"/>
        </w:rPr>
        <w:t>1.服务商开通产品权限</w:t>
      </w:r>
    </w:p>
    <w:p w14:paraId="6DB17486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sz w:val="20"/>
        </w:rPr>
        <w:t>服务商登录服务商平台，前往【产品中心】-【特约商户授权产品】，开通服务商分账功能；</w:t>
      </w:r>
    </w:p>
    <w:p w14:paraId="212CB497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  <w:r>
        <w:rPr>
          <w:rFonts w:ascii="微软雅黑" w:hAnsi="微软雅黑" w:eastAsia="微软雅黑" w:cs="微软雅黑"/>
          <w:sz w:val="20"/>
        </w:rPr>
        <w:drawing>
          <wp:inline distT="0" distB="0" distL="0" distR="0">
            <wp:extent cx="5276850" cy="4048125"/>
            <wp:effectExtent l="0" t="0" r="0" b="0"/>
            <wp:docPr id="17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picture" descr="descript"/>
                    <pic:cNvPicPr/>
                  </pic:nvPicPr>
                  <pic:blipFill rotWithShape="1">
                    <a:blip r:embed="rId9"/>
                    <a:srcRect l="0" t="0" r="0" b="0"/>
                    <a:stretch/>
                  </pic:blipFill>
                  <pic:spPr>
                    <a:xfrm rot="21600000">
                      <a:off x="0" y="0"/>
                      <a:ext cx="5276850" cy="4048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14C8F6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</w:p>
    <w:p w14:paraId="6BF3D820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b w:val="1"/>
          <w:sz w:val="20"/>
        </w:rPr>
      </w:pPr>
      <w:r>
        <w:rPr>
          <w:rStyle w:val=""/>
          <w:rFonts w:hint="eastAsia" w:ascii="微软雅黑" w:hAnsi="微软雅黑" w:eastAsia="微软雅黑" w:cs="微软雅黑"/>
          <w:b w:val="1"/>
          <w:sz w:val="20"/>
        </w:rPr>
        <w:t>2.服务商邀请特约商户授权</w:t>
      </w:r>
    </w:p>
    <w:p w14:paraId="4AE7F022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sz w:val="20"/>
        </w:rPr>
        <w:t>在特约商户列表点击【发送邀请】，填写申请理由并向其特约商户发起分账功能授权邀请；</w:t>
      </w:r>
    </w:p>
    <w:p w14:paraId="7757D963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  <w:r>
        <w:rPr>
          <w:rFonts w:ascii="微软雅黑" w:hAnsi="微软雅黑" w:eastAsia="微软雅黑" w:cs="微软雅黑"/>
          <w:sz w:val="20"/>
        </w:rPr>
        <w:drawing>
          <wp:inline distT="0" distB="0" distL="0" distR="0">
            <wp:extent cx="5276850" cy="2800350"/>
            <wp:effectExtent l="0" t="0" r="0" b="0"/>
            <wp:docPr id="20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picture" descr="descript"/>
                    <pic:cNvPicPr/>
                  </pic:nvPicPr>
                  <pic:blipFill rotWithShape="1">
                    <a:blip r:embed="rId10"/>
                    <a:srcRect l="0" t="0" r="0" b="0"/>
                    <a:stretch/>
                  </pic:blipFill>
                  <pic:spPr>
                    <a:xfrm rot="21600000">
                      <a:off x="0" y="0"/>
                      <a:ext cx="5276850" cy="2800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9F0263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</w:p>
    <w:p w14:paraId="2596CAF7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b w:val="1"/>
          <w:sz w:val="20"/>
        </w:rPr>
      </w:pPr>
      <w:r>
        <w:rPr>
          <w:rStyle w:val=""/>
          <w:rFonts w:hint="eastAsia" w:ascii="微软雅黑" w:hAnsi="微软雅黑" w:eastAsia="微软雅黑" w:cs="微软雅黑"/>
          <w:b w:val="1"/>
          <w:sz w:val="20"/>
        </w:rPr>
        <w:t>3.特约商户授权</w:t>
      </w:r>
    </w:p>
    <w:p w14:paraId="71FDDB81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b w:val="1"/>
          <w:sz w:val="20"/>
        </w:rPr>
      </w:pPr>
      <w:r>
        <w:rPr>
          <w:rStyle w:val=""/>
          <w:rFonts w:hint="eastAsia" w:ascii="微软雅黑" w:hAnsi="微软雅黑" w:eastAsia="微软雅黑" w:cs="微软雅黑"/>
          <w:b w:val="1"/>
          <w:sz w:val="20"/>
        </w:rPr>
        <w:t>3.1电脑端授权指引</w:t>
      </w:r>
    </w:p>
    <w:p w14:paraId="2C75515B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sz w:val="20"/>
        </w:rPr>
        <w:t>特约商户可登录微信支付商户平台，前往【产品中心】-【我授权的产品】，签约并授权服务商分账功能；</w:t>
      </w:r>
    </w:p>
    <w:p w14:paraId="68810832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  <w:r>
        <w:rPr>
          <w:rFonts w:ascii="微软雅黑" w:hAnsi="微软雅黑" w:eastAsia="微软雅黑" w:cs="微软雅黑"/>
          <w:sz w:val="20"/>
        </w:rPr>
        <w:drawing>
          <wp:inline distT="0" distB="0" distL="0" distR="0">
            <wp:extent cx="5276850" cy="3248025"/>
            <wp:effectExtent l="0" t="0" r="0" b="0"/>
            <wp:docPr id="23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picture" descr="descript"/>
                    <pic:cNvPicPr/>
                  </pic:nvPicPr>
                  <pic:blipFill rotWithShape="1">
                    <a:blip r:embed="rId11"/>
                    <a:srcRect l="0" t="0" r="0" b="0"/>
                    <a:stretch/>
                  </pic:blipFill>
                  <pic:spPr>
                    <a:xfrm rot="21600000">
                      <a:off x="0" y="0"/>
                      <a:ext cx="5276850" cy="3248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486426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sz w:val="20"/>
        </w:rPr>
        <w:t>签约流程示意：</w:t>
      </w:r>
    </w:p>
    <w:p w14:paraId="06A7A725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  <w:r>
        <w:rPr>
          <w:rFonts w:ascii="微软雅黑" w:hAnsi="微软雅黑" w:eastAsia="微软雅黑" w:cs="微软雅黑"/>
          <w:sz w:val="20"/>
        </w:rPr>
        <w:drawing>
          <wp:inline distT="0" distB="0" distL="0" distR="0">
            <wp:extent cx="5295900" cy="3533775"/>
            <wp:effectExtent l="0" t="0" r="0" b="0"/>
            <wp:docPr id="26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picture" descr="descript"/>
                    <pic:cNvPicPr/>
                  </pic:nvPicPr>
                  <pic:blipFill rotWithShape="1">
                    <a:blip r:embed="rId12"/>
                    <a:srcRect l="0" t="0" r="0" b="0"/>
                    <a:stretch/>
                  </pic:blipFill>
                  <pic:spPr>
                    <a:xfrm rot="21600000">
                      <a:off x="0" y="0"/>
                      <a:ext cx="5295900" cy="3533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031DA8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sz w:val="20"/>
        </w:rPr>
        <w:t>设置服务商可分账金额比例示意：该比例为允许服务商分账的最大比例，而非实际比例</w:t>
      </w:r>
    </w:p>
    <w:p w14:paraId="6D934DAD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  <w:r>
        <w:rPr>
          <w:rFonts w:ascii="微软雅黑" w:hAnsi="微软雅黑" w:eastAsia="微软雅黑" w:cs="微软雅黑"/>
          <w:sz w:val="20"/>
        </w:rPr>
        <w:drawing>
          <wp:inline distT="0" distB="0" distL="0" distR="0">
            <wp:extent cx="5276850" cy="3124200"/>
            <wp:effectExtent l="0" t="0" r="0" b="0"/>
            <wp:docPr id="29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picture" descr="descript"/>
                    <pic:cNvPicPr/>
                  </pic:nvPicPr>
                  <pic:blipFill rotWithShape="1">
                    <a:blip r:embed="rId13"/>
                    <a:srcRect l="0" t="0" r="0" b="0"/>
                    <a:stretch/>
                  </pic:blipFill>
                  <pic:spPr>
                    <a:xfrm rot="21600000">
                      <a:off x="0" y="0"/>
                      <a:ext cx="5276850" cy="3124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5BA61D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</w:p>
    <w:p w14:paraId="58030D72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b w:val="1"/>
          <w:sz w:val="20"/>
        </w:rPr>
      </w:pPr>
      <w:r>
        <w:rPr>
          <w:rStyle w:val=""/>
          <w:rFonts w:hint="eastAsia" w:ascii="微软雅黑" w:hAnsi="微软雅黑" w:eastAsia="微软雅黑" w:cs="微软雅黑"/>
          <w:b w:val="1"/>
          <w:sz w:val="20"/>
        </w:rPr>
        <w:t>3.2移动端授权指引</w:t>
      </w:r>
    </w:p>
    <w:p w14:paraId="4D071016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sz w:val="20"/>
        </w:rPr>
        <w:t>特约商户可登录微信支付商家助手小程序，点击【消息中心】，签约并授权服务商分账功能；</w:t>
      </w:r>
    </w:p>
    <w:p w14:paraId="0996C937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  <w:r>
        <w:rPr>
          <w:rFonts w:ascii="微软雅黑" w:hAnsi="微软雅黑" w:eastAsia="微软雅黑" w:cs="微软雅黑"/>
          <w:sz w:val="20"/>
        </w:rPr>
        <w:drawing>
          <wp:inline distT="0" distB="0" distL="0" distR="0">
            <wp:extent cx="5276850" cy="1838325"/>
            <wp:effectExtent l="0" t="0" r="0" b="0"/>
            <wp:docPr id="32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picture" descr="descript"/>
                    <pic:cNvPicPr/>
                  </pic:nvPicPr>
                  <pic:blipFill rotWithShape="1">
                    <a:blip r:embed="rId14"/>
                    <a:srcRect l="0" t="0" r="0" b="0"/>
                    <a:stretch/>
                  </pic:blipFill>
                  <pic:spPr>
                    <a:xfrm rot="21600000">
                      <a:off x="0" y="0"/>
                      <a:ext cx="5276850" cy="1838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85EE2B6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</w:p>
    <w:p w14:paraId="26A49ED4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sz w:val="20"/>
        </w:rPr>
        <w:t>若特约商户关注了微信支付商家助手公众号，将收到消息提醒，若商户未关注时，将不提供该服务（不影响商户通过消息中心点击授权流程）；</w:t>
      </w:r>
    </w:p>
    <w:p w14:paraId="62D6CE37">
      <w:pPr>
        <w:pStyle w:val="5znyks"/>
        <w:numPr/>
        <w:rPr>
          <w:rStyle w:val=""/>
          <w:rFonts w:ascii="微软雅黑" w:hAnsi="微软雅黑" w:eastAsia="微软雅黑" w:cs="微软雅黑"/>
          <w:sz w:val="20"/>
        </w:rPr>
      </w:pPr>
      <w:r>
        <w:rPr>
          <w:rFonts w:ascii="微软雅黑" w:hAnsi="微软雅黑" w:eastAsia="微软雅黑" w:cs="微软雅黑"/>
          <w:sz w:val="20"/>
        </w:rPr>
        <w:drawing>
          <wp:inline distT="0" distB="0" distL="0" distR="0">
            <wp:extent cx="5276850" cy="2790825"/>
            <wp:effectExtent l="0" t="0" r="0" b="0"/>
            <wp:docPr id="35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picture" descr="descript"/>
                    <pic:cNvPicPr/>
                  </pic:nvPicPr>
                  <pic:blipFill rotWithShape="1">
                    <a:blip r:embed="rId15"/>
                    <a:srcRect l="0" t="0" r="0" b="0"/>
                    <a:stretch/>
                  </pic:blipFill>
                  <pic:spPr>
                    <a:xfrm rot="21600000">
                      <a:off x="0" y="0"/>
                      <a:ext cx="5276850" cy="2790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F16A8">
      <w:pPr>
        <w:pStyle w:val="5znyks"/>
        <w:numPr/>
        <w:rPr>
          <w:rFonts w:ascii="微软雅黑" w:hAnsi="微软雅黑" w:eastAsia="微软雅黑" w:cs="微软雅黑"/>
          <w:sz w:val="20"/>
        </w:rPr>
      </w:pPr>
    </w:p>
    <w:sectPr>
      <w:pgSz w:w="11906" w:h="16838"/>
      <w:pgMar w:top="1361" w:right="1417" w:bottom="1361" w:left="1417" w:header="712" w:footer="853"/>
    </w:sectPr>
  </w:body>
</w:document>
</file>

<file path=word/fontTable.xml><?xml version="1.0" encoding="utf-8"?>
<w:fonts xmlns:w="http://schemas.openxmlformats.org/wordprocessingml/2006/main"/>
</file>

<file path=word/numbering.xml><?xml version="1.0" encoding="utf-8"?>
<w:numbering xmlns:w="http://schemas.openxmlformats.org/wordprocessingml/2006/main">
  <w:abstractNum w:abstractNumId="0">
    <w:lvl w:ilvl="0">
      <w:start w:val="1"/>
      <w:numFmt w:val="decimal"/>
      <w:lvlText w:val="%1."/>
      <w:lvlJc w:val="left"/>
      <w:pPr>
        <w:ind w:left="776" w:hanging="336"/>
      </w:pPr>
      <w:rPr>
        <w:rFonts/>
      </w:rPr>
    </w:lvl>
    <w:lvl w:ilvl="5">
      <w:start w:val="1"/>
      <w:numFmt w:val="lowerRoman"/>
      <w:lvlText w:val="%6."/>
      <w:lvlJc w:val="left"/>
      <w:pPr>
        <w:ind w:left="2976" w:hanging="336"/>
      </w:pPr>
      <w:rPr>
        <w:rFonts/>
      </w:rPr>
    </w:lvl>
    <w:lvl w:ilvl="7">
      <w:start w:val="1"/>
      <w:numFmt w:val="lowerLetter"/>
      <w:lvlText w:val="%8."/>
      <w:lvlJc w:val="left"/>
      <w:pPr>
        <w:ind w:left="3856" w:hanging="336"/>
      </w:pPr>
      <w:rPr>
        <w:rFonts/>
      </w:rPr>
    </w:lvl>
    <w:lvl w:ilvl="3">
      <w:start w:val="1"/>
      <w:numFmt w:val="decimal"/>
      <w:lvlText w:val="%4."/>
      <w:lvlJc w:val="left"/>
      <w:pPr>
        <w:ind w:left="2096" w:hanging="336"/>
      </w:pPr>
      <w:rPr>
        <w:rFonts/>
      </w:rPr>
    </w:lvl>
    <w:lvl w:ilvl="6">
      <w:start w:val="1"/>
      <w:numFmt w:val="decimal"/>
      <w:lvlText w:val="%7."/>
      <w:lvlJc w:val="left"/>
      <w:pPr>
        <w:ind w:left="3416" w:hanging="336"/>
      </w:pPr>
      <w:rPr>
        <w:rFonts/>
      </w:rPr>
    </w:lvl>
    <w:lvl w:ilvl="1">
      <w:start w:val="1"/>
      <w:numFmt w:val="lowerLetter"/>
      <w:lvlText w:val="%2."/>
      <w:lvlJc w:val="left"/>
      <w:pPr>
        <w:ind w:left="1216" w:hanging="336"/>
      </w:pPr>
      <w:rPr>
        <w:rFonts/>
      </w:rPr>
    </w:lvl>
    <w:lvl w:ilvl="2">
      <w:start w:val="1"/>
      <w:numFmt w:val="lowerRoman"/>
      <w:lvlText w:val="%3."/>
      <w:lvlJc w:val="left"/>
      <w:pPr>
        <w:ind w:left="1656" w:hanging="336"/>
      </w:pPr>
      <w:rPr>
        <w:rFonts/>
      </w:rPr>
    </w:lvl>
    <w:lvl w:ilvl="4">
      <w:start w:val="1"/>
      <w:numFmt w:val="lowerLetter"/>
      <w:lvlText w:val="%5."/>
      <w:lvlJc w:val="left"/>
      <w:pPr>
        <w:ind w:left="2536" w:hanging="336"/>
      </w:pPr>
      <w:rPr>
        <w:rFonts/>
      </w:rPr>
    </w:lvl>
  </w:abstractNum>
  <w:abstractNum w:abstractNumId="1">
    <w:lvl w:ilvl="6">
      <w:start w:val="1"/>
      <w:numFmt w:val="decimal"/>
      <w:lvlText w:val="%7."/>
      <w:lvlJc w:val="left"/>
      <w:pPr>
        <w:ind w:left="3648" w:hanging="336"/>
      </w:pPr>
      <w:rPr>
        <w:rFonts/>
      </w:rPr>
    </w:lvl>
    <w:lvl w:ilvl="5">
      <w:start w:val="1"/>
      <w:numFmt w:val="lowerRoman"/>
      <w:lvlText w:val="%6."/>
      <w:lvlJc w:val="left"/>
      <w:pPr>
        <w:ind w:left="3208" w:hanging="336"/>
      </w:pPr>
      <w:rPr>
        <w:rFonts/>
      </w:rPr>
    </w:lvl>
    <w:lvl w:ilvl="1">
      <w:start w:val="1"/>
      <w:numFmt w:val="lowerLetter"/>
      <w:lvlText w:val="%2."/>
      <w:lvlJc w:val="left"/>
      <w:pPr>
        <w:ind w:left="1448" w:hanging="336"/>
      </w:pPr>
      <w:rPr>
        <w:rFonts/>
      </w:rPr>
    </w:lvl>
    <w:lvl w:ilvl="4">
      <w:start w:val="1"/>
      <w:numFmt w:val="lowerLetter"/>
      <w:lvlText w:val="%5."/>
      <w:lvlJc w:val="left"/>
      <w:pPr>
        <w:ind w:left="2768" w:hanging="336"/>
      </w:pPr>
      <w:rPr>
        <w:rFonts/>
      </w:rPr>
    </w:lvl>
    <w:lvl w:ilvl="0">
      <w:start w:val="1"/>
      <w:numFmt w:val="decimal"/>
      <w:lvlText w:val="%1."/>
      <w:lvlJc w:val="left"/>
      <w:pPr>
        <w:ind w:left="1008" w:hanging="336"/>
      </w:pPr>
      <w:rPr>
        <w:rFonts/>
      </w:rPr>
    </w:lvl>
    <w:lvl w:ilvl="7">
      <w:start w:val="1"/>
      <w:numFmt w:val="lowerLetter"/>
      <w:lvlText w:val="%8."/>
      <w:lvlJc w:val="left"/>
      <w:pPr>
        <w:ind w:left="4088" w:hanging="336"/>
      </w:pPr>
      <w:rPr>
        <w:rFonts/>
      </w:rPr>
    </w:lvl>
    <w:lvl w:ilvl="3">
      <w:start w:val="1"/>
      <w:numFmt w:val="decimal"/>
      <w:lvlText w:val="%4."/>
      <w:lvlJc w:val="left"/>
      <w:pPr>
        <w:ind w:left="2328" w:hanging="336"/>
      </w:pPr>
      <w:rPr>
        <w:rFonts/>
      </w:rPr>
    </w:lvl>
    <w:lvl w:ilvl="2">
      <w:start w:val="1"/>
      <w:numFmt w:val="lowerRoman"/>
      <w:lvlText w:val="%3."/>
      <w:lvlJc w:val="left"/>
      <w:pPr>
        <w:ind w:left="1888" w:hanging="336"/>
      </w:pPr>
      <w:rPr>
        <w:rFonts/>
      </w:rPr>
    </w:lvl>
  </w:abstractNum>
  <w:abstractNum w:abstractNumId="2">
    <w:lvl w:ilvl="4">
      <w:start w:val="1"/>
      <w:numFmt w:val="lowerLetter"/>
      <w:lvlText w:val="%5."/>
      <w:lvlJc w:val="left"/>
      <w:pPr>
        <w:ind w:left="2096" w:hanging="336"/>
      </w:pPr>
      <w:rPr>
        <w:rFonts/>
      </w:rPr>
    </w:lvl>
    <w:lvl w:ilvl="3">
      <w:start w:val="1"/>
      <w:numFmt w:val="decimal"/>
      <w:lvlText w:val="%4."/>
      <w:lvlJc w:val="left"/>
      <w:pPr>
        <w:ind w:left="1656" w:hanging="336"/>
      </w:pPr>
      <w:rPr>
        <w:rFonts/>
      </w:rPr>
    </w:lvl>
    <w:lvl w:ilvl="6">
      <w:start w:val="1"/>
      <w:numFmt w:val="decimal"/>
      <w:lvlText w:val="%7."/>
      <w:lvlJc w:val="left"/>
      <w:pPr>
        <w:ind w:left="2976" w:hanging="336"/>
      </w:pPr>
      <w:rPr>
        <w:rFonts/>
      </w:rPr>
    </w:lvl>
    <w:lvl w:ilvl="0">
      <w:start w:val="1"/>
      <w:numFmt w:val="decimal"/>
      <w:lvlText w:val="%1."/>
      <w:lvlJc w:val="left"/>
      <w:pPr>
        <w:ind w:left="336" w:hanging="336"/>
      </w:pPr>
      <w:rPr>
        <w:rFonts/>
      </w:rPr>
    </w:lvl>
    <w:lvl w:ilvl="1">
      <w:start w:val="1"/>
      <w:numFmt w:val="lowerLetter"/>
      <w:lvlText w:val="%2."/>
      <w:lvlJc w:val="left"/>
      <w:pPr>
        <w:ind w:left="776" w:hanging="336"/>
      </w:pPr>
      <w:rPr>
        <w:rFonts/>
      </w:rPr>
    </w:lvl>
    <w:lvl w:ilvl="5">
      <w:start w:val="1"/>
      <w:numFmt w:val="lowerRoman"/>
      <w:lvlText w:val="%6."/>
      <w:lvlJc w:val="left"/>
      <w:pPr>
        <w:ind w:left="2536" w:hanging="336"/>
      </w:pPr>
      <w:rPr>
        <w:rFonts/>
      </w:rPr>
    </w:lvl>
    <w:lvl w:ilvl="7">
      <w:start w:val="1"/>
      <w:numFmt w:val="lowerLetter"/>
      <w:lvlText w:val="%8."/>
      <w:lvlJc w:val="left"/>
      <w:pPr>
        <w:ind w:left="3416" w:hanging="336"/>
      </w:pPr>
      <w:rPr>
        <w:rFonts/>
      </w:rPr>
    </w:lvl>
    <w:lvl w:ilvl="2">
      <w:start w:val="1"/>
      <w:numFmt w:val="lowerRoman"/>
      <w:lvlText w:val="%3."/>
      <w:lvlJc w:val="left"/>
      <w:pPr>
        <w:ind w:left="1216" w:hanging="336"/>
      </w:pPr>
      <w:rPr>
        <w:rFonts/>
      </w:rPr>
    </w:lvl>
  </w:abstractNum>
  <w:num w:numId="1">
    <w:abstractNumId w:val="0"/>
  </w:num>
  <w:num w:numId="3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="minorHAnsi" w:hAnsi="minorHAnsi" w:eastAsia="minorEastAsia" w:cstheme="minorBidi"/>
        <w:color w:val="333333"/>
        <w:kern w:val="2"/>
        <w:sz w:val="22"/>
        <w:szCs w:val="22"/>
      </w:rPr>
    </w:rPrDefault>
    <w:pPrDefault>
      <w:pPr>
        <w:snapToGrid w:val="0"/>
        <w:spacing w:before="60" w:after="60" w:line="312" w:lineRule="auto"/>
      </w:pPr>
    </w:pPrDefault>
  </w:docDefaults>
  <w:latentStyles w:defLockedState="0" w:defUIPriority="0" w:defSemiHidden="0" w:defUnhideWhenUsed="0" w:defQFormat="0" w:count="376">
    <w:lsdException w:name="Table Simple 2" w:semiHidden="1" w:unhideWhenUsed="1"/>
    <w:lsdException w:name="Light List Accent 6" w:uiPriority="61"/>
    <w:lsdException w:name="Plain Table 2" w:uiPriority="42"/>
    <w:lsdException w:name="Colorful Shading Accent 1" w:uiPriority="71"/>
    <w:lsdException w:name="Colorful Shading" w:uiPriority="71"/>
    <w:lsdException w:name="Grid Table 6 Colorful Accent 6" w:uiPriority="51"/>
    <w:lsdException w:name="Colorful List Accent 2" w:uiPriority="72"/>
    <w:lsdException w:name="Book Title" w:uiPriority="33" w:qFormat="1"/>
    <w:lsdException w:name="List Table 6 Colorful Accent 4" w:uiPriority="51"/>
    <w:lsdException w:name="Revision" w:uiPriority="99" w:semiHidden="1"/>
    <w:lsdException w:name="Table Colorful 1" w:semiHidden="1" w:unhideWhenUsed="1"/>
    <w:lsdException w:name="Grid Table 1 Light Accent 3" w:uiPriority="46"/>
    <w:lsdException w:name="Table Columns 3" w:semiHidden="1" w:unhideWhenUsed="1"/>
    <w:lsdException w:name="Medium List 1 Accent 1" w:uiPriority="65"/>
    <w:lsdException w:name="Placeholder Text" w:uiPriority="99" w:semiHidden="1"/>
    <w:lsdException w:name="HTML Top of Form" w:uiPriority="99" w:semiHidden="1" w:unhideWhenUsed="1"/>
    <w:lsdException w:name="Medium List 2 Accent 3" w:uiPriority="66"/>
    <w:lsdException w:name="Medium List 2 Accent 6" w:uiPriority="66"/>
    <w:lsdException w:name="List Table 6 Colorful Accent 5" w:uiPriority="51"/>
    <w:lsdException w:name="List Table 7 Colorful Accent 4" w:uiPriority="52"/>
    <w:lsdException w:name="Table Grid 3" w:semiHidden="1" w:unhideWhenUsed="1"/>
    <w:lsdException w:name="Table Grid 8" w:semiHidden="1" w:unhideWhenUsed="1"/>
    <w:lsdException w:name="Table Classic 3" w:semiHidden="1" w:unhideWhenUsed="1"/>
    <w:lsdException w:name="Grid Table 3 Accent 1" w:uiPriority="48"/>
    <w:lsdException w:name="Grid Table 4 Accent 6" w:uiPriority="49"/>
    <w:lsdException w:name="Light List Accent 5" w:uiPriority="61"/>
    <w:lsdException w:name="Medium List 2 Accent 1" w:uiPriority="66"/>
    <w:lsdException w:name="Grid Table 7 Colorful Accent 4" w:uiPriority="52"/>
    <w:lsdException w:name="Light Shading Accent 3" w:uiPriority="60"/>
    <w:lsdException w:name="Grid Table 6 Colorful Accent 1" w:uiPriority="51"/>
    <w:lsdException w:name="Table List 1" w:semiHidden="1" w:unhideWhenUsed="1"/>
    <w:lsdException w:name="HTML Bottom of Form" w:uiPriority="99" w:semiHidden="1" w:unhideWhenUsed="1"/>
    <w:lsdException w:name="Medium Shading 1" w:uiPriority="63"/>
    <w:lsdException w:name="List Table 7 Colorful Accent 1" w:uiPriority="52"/>
    <w:lsdException w:name="Grid Table 2 Accent 5" w:uiPriority="47"/>
    <w:lsdException w:name="List Table 1 Light Accent 4" w:uiPriority="46"/>
    <w:lsdException w:name="Title" w:qFormat="1"/>
    <w:lsdException w:name="List Table 1 Light Accent 5" w:uiPriority="46"/>
    <w:lsdException w:name="Colorful List Accent 6" w:uiPriority="72"/>
    <w:lsdException w:name="List Table 4 Accent 3" w:uiPriority="49"/>
    <w:lsdException w:name="Table Grid 6" w:semiHidden="1" w:unhideWhenUsed="1"/>
    <w:lsdException w:name="toc 5" w:uiPriority="99"/>
    <w:lsdException w:name="Grid Table 1 Light Accent 1" w:uiPriority="46"/>
    <w:lsdException w:name="Grid Table 4 Accent 3" w:uiPriority="49"/>
    <w:lsdException w:name="Table Theme" w:semiHidden="1" w:unhideWhenUsed="1"/>
    <w:lsdException w:name="Medium Grid 3 Accent 5" w:uiPriority="69"/>
    <w:lsdException w:name="Smart Link" w:uiPriority="99" w:semiHidden="1" w:unhideWhenUsed="1"/>
    <w:lsdException w:name="Table Classic 1" w:semiHidden="1" w:unhideWhenUsed="1"/>
    <w:lsdException w:name="toc 9" w:uiPriority="99"/>
    <w:lsdException w:name="Dark List Accent 5" w:uiPriority="70"/>
    <w:lsdException w:name="Medium Shading 1 Accent 1" w:uiPriority="63"/>
    <w:lsdException w:name="Grid Table 4 Accent 4" w:uiPriority="49"/>
    <w:lsdException w:name="Grid Table 2 Accent 1" w:uiPriority="47"/>
    <w:lsdException w:name="Grid Table 7 Colorful Accent 2" w:uiPriority="52"/>
    <w:lsdException w:name="toc 8" w:uiPriority="99"/>
    <w:lsdException w:name="Medium Grid 3 Accent 1" w:uiPriority="69"/>
    <w:lsdException w:name="List Table 7 Colorful Accent 2" w:uiPriority="52"/>
    <w:lsdException w:name="HTML Sample" w:uiPriority="99"/>
    <w:lsdException w:name="Table Simple 3" w:semiHidden="1" w:unhideWhenUsed="1"/>
    <w:lsdException w:name="Table Grid 2" w:semiHidden="1" w:unhideWhenUsed="1"/>
    <w:lsdException w:name="Colorful Grid Accent 3" w:uiPriority="73"/>
    <w:lsdException w:name="List Table 6 Colorful Accent 3" w:uiPriority="51"/>
    <w:lsdException w:name="Table Columns 2" w:semiHidden="1" w:unhideWhenUsed="1"/>
    <w:lsdException w:name="List Table 6 Colorful Accent 6" w:uiPriority="51"/>
    <w:lsdException w:name="HTML Definition" w:uiPriority="99"/>
    <w:lsdException w:name="Medium Grid 3 Accent 3" w:uiPriority="69"/>
    <w:lsdException w:name="Medium Grid 2 Accent 6" w:uiPriority="68"/>
    <w:lsdException w:name="Grid Table 1 Light Accent 4" w:uiPriority="46"/>
    <w:lsdException w:name="Subtitle" w:qFormat="1"/>
    <w:lsdException w:name="Grid Table 5 Dark Accent 6" w:uiPriority="50"/>
    <w:lsdException w:name="List Table 5 Dark Accent 5" w:uiPriority="50"/>
    <w:lsdException w:name="Medium Shading 1 Accent 6" w:uiPriority="63"/>
    <w:lsdException w:name="List Table 4 Accent 1" w:uiPriority="49"/>
    <w:lsdException w:name="Grid Table 4 Accent 2" w:uiPriority="49"/>
    <w:lsdException w:name="List Table 6 Colorful" w:uiPriority="51"/>
    <w:lsdException w:name="Grid Table 6 Colorful Accent 5" w:uiPriority="51"/>
    <w:lsdException w:name="Default Paragraph Font" w:uiPriority="1" w:semiHidden="1" w:unhideWhenUsed="1"/>
    <w:lsdException w:name="Colorful Shading Accent 4" w:uiPriority="71"/>
    <w:lsdException w:name="Grid Table 2 Accent 6" w:uiPriority="47"/>
    <w:lsdException w:name="Table Colorful 2" w:semiHidden="1" w:unhideWhenUsed="1"/>
    <w:lsdException w:name="Light List Accent 3" w:uiPriority="61"/>
    <w:lsdException w:name="Table Web 1" w:semiHidden="1" w:unhideWhenUsed="1"/>
    <w:lsdException w:name="Light Shading Accent 6" w:uiPriority="60"/>
    <w:lsdException w:name="Table Grid 4" w:semiHidden="1" w:unhideWhenUsed="1"/>
    <w:lsdException w:name="Dark List Accent 2" w:uiPriority="70"/>
    <w:lsdException w:name="heading 6" w:qFormat="1"/>
    <w:lsdException w:name="Medium List 1 Accent 4" w:uiPriority="65"/>
    <w:lsdException w:name="Subtle Reference" w:uiPriority="31" w:qFormat="1"/>
    <w:lsdException w:name="Table Subtle 2" w:semiHidden="1" w:unhideWhenUsed="1"/>
    <w:lsdException w:name="Table Grid 5" w:semiHidden="1" w:unhideWhenUsed="1"/>
    <w:lsdException w:name="toc 3" w:uiPriority="99"/>
    <w:lsdException w:name="Medium Grid 1" w:uiPriority="67"/>
    <w:lsdException w:name="Table List 7" w:semiHidden="1" w:unhideWhenUsed="1"/>
    <w:lsdException w:name="footnote reference" w:uiPriority="99" w:semiHidden="1" w:unhideWhenUsed="1"/>
    <w:lsdException w:name="toc 2" w:uiPriority="99"/>
    <w:lsdException w:name="Medium Grid 2 Accent 4" w:uiPriority="68"/>
    <w:lsdException w:name="Grid Table 5 Dark Accent 2" w:uiPriority="50"/>
    <w:lsdException w:name="List Table 7 Colorful Accent 5" w:uiPriority="52"/>
    <w:lsdException w:name="Emphasis" w:qFormat="1"/>
    <w:lsdException w:name="Light Shading" w:uiPriority="60"/>
    <w:lsdException w:name="Grid Table 7 Colorful Accent 3" w:uiPriority="52"/>
    <w:lsdException w:name="Medium Grid 1 Accent 4" w:uiPriority="67"/>
    <w:lsdException w:name="List Table 5 Dark Accent 6" w:uiPriority="50"/>
    <w:lsdException w:name="HTML Variable" w:uiPriority="99"/>
    <w:lsdException w:name="Table Subtle 1" w:semiHidden="1" w:unhideWhenUsed="1"/>
    <w:lsdException w:name="Grid Table 4 Accent 1" w:uiPriority="49"/>
    <w:lsdException w:name="Medium Grid 2 Accent 2" w:uiPriority="68"/>
    <w:lsdException w:name="Table Web 3" w:semiHidden="1" w:unhideWhenUsed="1"/>
    <w:lsdException w:name="HTML Acronym" w:uiPriority="99"/>
    <w:lsdException w:name="List Table 3" w:uiPriority="48"/>
    <w:lsdException w:name="Medium List 1 Accent 5" w:uiPriority="65"/>
    <w:lsdException w:name="Light Grid Accent 2" w:uiPriority="62"/>
    <w:lsdException w:name="HTML Preformatted" w:uiPriority="99"/>
    <w:lsdException w:name="Strong" w:qFormat="1"/>
    <w:lsdException w:name="Table 3D effects 1" w:semiHidden="1" w:unhideWhenUsed="1"/>
    <w:lsdException w:name="Table 3D effects 3" w:semiHidden="1" w:unhideWhenUsed="1"/>
    <w:lsdException w:name="heading 1" w:qFormat="1"/>
    <w:lsdException w:name="List Table 2 Accent 1" w:uiPriority="47"/>
    <w:lsdException w:name="heading 2" w:qFormat="1"/>
    <w:lsdException w:name="Dark List Accent 1" w:uiPriority="70"/>
    <w:lsdException w:name="No List" w:uiPriority="99" w:semiHidden="1" w:unhideWhenUsed="1"/>
    <w:lsdException w:name="List Table 3 Accent 1" w:uiPriority="48"/>
    <w:lsdException w:name="Table Professional" w:semiHidden="1" w:unhideWhenUsed="1"/>
    <w:lsdException w:name="List Table 3 Accent 2" w:uiPriority="48"/>
    <w:lsdException w:name="List Table 3 Accent 4" w:uiPriority="48"/>
    <w:lsdException w:name="Grid Table Light" w:uiPriority="40"/>
    <w:lsdException w:name="Colorful Grid" w:uiPriority="73"/>
    <w:lsdException w:name="Grid Table 2 Accent 2" w:uiPriority="47"/>
    <w:lsdException w:name="heading 9" w:unhideWhenUsed="1" w:qFormat="1"/>
    <w:lsdException w:name="Medium Grid 1 Accent 6" w:uiPriority="67"/>
    <w:lsdException w:name="Light Shading Accent 4" w:uiPriority="60"/>
    <w:lsdException w:name="Grid Table 2" w:uiPriority="47"/>
    <w:lsdException w:name="Grid Table 7 Colorful Accent 6" w:uiPriority="52"/>
    <w:lsdException w:name="List Table 2 Accent 5" w:uiPriority="47"/>
    <w:lsdException w:name="Medium List 2 Accent 5" w:uiPriority="66"/>
    <w:lsdException w:name="Medium Shading 2 Accent 6" w:uiPriority="64"/>
    <w:lsdException w:name="Grid Table 6 Colorful" w:uiPriority="51"/>
    <w:lsdException w:name="No Spacing" w:uiPriority="99"/>
    <w:lsdException w:name="Subtle Emphasis" w:uiPriority="19" w:qFormat="1"/>
    <w:lsdException w:name="Medium List 2 Accent 4" w:uiPriority="66"/>
    <w:lsdException w:name="Grid Table 4" w:uiPriority="49"/>
    <w:lsdException w:name="Medium Grid 2 Accent 3" w:uiPriority="68"/>
    <w:lsdException w:name="Medium Grid 3" w:uiPriority="69"/>
    <w:lsdException w:name="List Table 3 Accent 5" w:uiPriority="48"/>
    <w:lsdException w:name="Medium Shading 1 Accent 4" w:uiPriority="63"/>
    <w:lsdException w:name="Grid Table 1 Light Accent 2" w:uiPriority="46"/>
    <w:lsdException w:name="Table Grid 7" w:semiHidden="1" w:unhideWhenUsed="1"/>
    <w:lsdException w:name="Medium Grid 2 Accent 5" w:uiPriority="68"/>
    <w:lsdException w:name="Dark List Accent 3" w:uiPriority="70"/>
    <w:lsdException w:name="List Table 2 Accent 4" w:uiPriority="47"/>
    <w:lsdException w:name="List Table 5 Dark Accent 2" w:uiPriority="50"/>
    <w:lsdException w:name="heading 8" w:unhideWhenUsed="1" w:qFormat="1"/>
    <w:lsdException w:name="Dark List Accent 4" w:uiPriority="70"/>
    <w:lsdException w:name="List Table 7 Colorful" w:uiPriority="52"/>
    <w:lsdException w:name="List Table 2 Accent 3" w:uiPriority="47"/>
    <w:lsdException w:name="Table Columns 5" w:semiHidden="1" w:unhideWhenUsed="1"/>
    <w:lsdException w:name="Medium Grid 1 Accent 3" w:uiPriority="67"/>
    <w:lsdException w:name="Plain Table 3" w:uiPriority="43"/>
    <w:lsdException w:name="Normal Table" w:uiPriority="99" w:semiHidden="1" w:unhideWhenUsed="1"/>
    <w:lsdException w:name="List Table 1 Light Accent 3" w:uiPriority="46"/>
    <w:lsdException w:name="Table Classic 4" w:semiHidden="1" w:unhideWhenUsed="1"/>
    <w:lsdException w:name="Medium List 1" w:uiPriority="65"/>
    <w:lsdException w:name="Dark List" w:uiPriority="70"/>
    <w:lsdException w:name="Colorful List Accent 3" w:uiPriority="72"/>
    <w:lsdException w:name="Grid Table 5 Dark Accent 3" w:uiPriority="50"/>
    <w:lsdException w:name="Medium Shading 1 Accent 2" w:uiPriority="63"/>
    <w:lsdException w:name="Medium List 2" w:uiPriority="66"/>
    <w:lsdException w:name="Table Grid" w:qFormat="1"/>
    <w:lsdException w:name="Medium List 1 Accent 6" w:uiPriority="65"/>
    <w:lsdException w:name="Grid Table 5 Dark Accent 5" w:uiPriority="50"/>
    <w:lsdException w:name="List Table 6 Colorful Accent 1" w:uiPriority="51"/>
    <w:lsdException w:name="Intense Reference" w:uiPriority="32" w:qFormat="1"/>
    <w:lsdException w:name="toc 6" w:uiPriority="99"/>
    <w:lsdException w:name="Table List 2" w:semiHidden="1" w:unhideWhenUsed="1"/>
    <w:lsdException w:name="List Paragraph" w:uiPriority="99"/>
    <w:lsdException w:name="Light Grid Accent 6" w:uiPriority="62"/>
    <w:lsdException w:name="Table Simple 1" w:semiHidden="1" w:unhideWhenUsed="1"/>
    <w:lsdException w:name="toc 1" w:uiPriority="99"/>
    <w:lsdException w:name="Colorful List Accent 5" w:uiPriority="72"/>
    <w:lsdException w:name="Table Columns 4" w:semiHidden="1" w:unhideWhenUsed="1"/>
    <w:lsdException w:name="Table List 5" w:semiHidden="1" w:unhideWhenUsed="1"/>
    <w:lsdException w:name="Medium Shading 2 Accent 5" w:uiPriority="64"/>
    <w:lsdException w:name="Medium Grid 3 Accent 2" w:uiPriority="69"/>
    <w:lsdException w:name="Dark List Accent 6" w:uiPriority="70"/>
    <w:lsdException w:name="Grid Table 5 Dark Accent 4" w:uiPriority="50"/>
    <w:lsdException w:name="TOC Heading" w:uiPriority="39" w:semiHidden="1" w:unhideWhenUsed="1" w:qFormat="1"/>
    <w:lsdException w:name="Table Elegant" w:semiHidden="1" w:unhideWhenUsed="1"/>
    <w:lsdException w:name="Grid Table 6 Colorful Accent 2" w:uiPriority="51"/>
    <w:lsdException w:name="List Table 1 Light Accent 6" w:uiPriority="46"/>
    <w:lsdException w:name="heading 5" w:qFormat="1"/>
    <w:lsdException w:name="List Table 3 Accent 6" w:uiPriority="48"/>
    <w:lsdException w:name="Colorful Shading Accent 6" w:uiPriority="71"/>
    <w:lsdException w:name="Grid Table 6 Colorful Accent 3" w:uiPriority="51"/>
    <w:lsdException w:name="Light Grid Accent 3" w:uiPriority="62"/>
    <w:lsdException w:name="Light List Accent 4" w:uiPriority="61"/>
    <w:lsdException w:name="Quote" w:uiPriority="99"/>
    <w:lsdException w:name="Colorful Grid Accent 1" w:uiPriority="73"/>
    <w:lsdException w:name="heading 3" w:qFormat="1"/>
    <w:lsdException w:name="Medium List 2 Accent 2" w:uiPriority="66"/>
    <w:lsdException w:name="Medium Shading 2 Accent 4" w:uiPriority="64"/>
    <w:lsdException w:name="Light Grid Accent 1" w:uiPriority="62"/>
    <w:lsdException w:name="List Table 5 Dark Accent 4" w:uiPriority="50"/>
    <w:lsdException w:name="Grid Table 2 Accent 4" w:uiPriority="47"/>
    <w:lsdException w:name="Smart Hyperlink" w:uiPriority="99" w:semiHidden="1" w:unhideWhenUsed="1"/>
    <w:lsdException w:name="Unresolved Mention" w:uiPriority="99" w:semiHidden="1" w:unhideWhenUsed="1"/>
    <w:lsdException w:name="List Table 4 Accent 6" w:uiPriority="49"/>
    <w:lsdException w:name="List Table 1 Light" w:uiPriority="46"/>
    <w:lsdException w:name="List Table 7 Colorful Accent 3" w:uiPriority="52"/>
    <w:lsdException w:name="Light Grid Accent 4" w:uiPriority="62"/>
    <w:lsdException w:name="List Table 5 Dark Accent 3" w:uiPriority="50"/>
    <w:lsdException w:name="Grid Table 5 Dark Accent 1" w:uiPriority="50"/>
    <w:lsdException w:name="Grid Table 1 Light Accent 6" w:uiPriority="46"/>
    <w:lsdException w:name="Plain Table 5" w:uiPriority="45"/>
    <w:lsdException w:name="Table Grid 1" w:semiHidden="1" w:unhideWhenUsed="1"/>
    <w:lsdException w:name="Table 3D effects 2" w:semiHidden="1" w:unhideWhenUsed="1"/>
    <w:lsdException w:name="Grid Table 3 Accent 3" w:uiPriority="48"/>
    <w:lsdException w:name="Medium Grid 1 Accent 2" w:uiPriority="67"/>
    <w:lsdException w:name="Light Grid" w:uiPriority="62"/>
    <w:lsdException w:name="List Table 1 Light Accent 1" w:uiPriority="46"/>
    <w:lsdException w:name="Medium Grid 2" w:uiPriority="68"/>
    <w:lsdException w:name="Colorful List" w:uiPriority="72"/>
    <w:lsdException w:name="Intense Quote" w:uiPriority="99"/>
    <w:lsdException w:name="Normal" w:qFormat="1"/>
    <w:lsdException w:name="List Table 2 Accent 6" w:uiPriority="47"/>
    <w:lsdException w:name="HTML Address" w:uiPriority="99"/>
    <w:lsdException w:name="List Table 4" w:uiPriority="49"/>
    <w:lsdException w:name="Colorful Shading Accent 3" w:uiPriority="71"/>
    <w:lsdException w:name="Grid Table 7 Colorful Accent 5" w:uiPriority="52"/>
    <w:lsdException w:name="Light List" w:uiPriority="61"/>
    <w:lsdException w:name="Colorful Grid Accent 6" w:uiPriority="73"/>
    <w:lsdException w:name="Medium Grid 2 Accent 1" w:uiPriority="68"/>
    <w:lsdException w:name="List Table 1 Light Accent 2" w:uiPriority="46"/>
    <w:lsdException w:name="Colorful Grid Accent 2" w:uiPriority="73"/>
    <w:lsdException w:name="Light Grid Accent 5" w:uiPriority="62"/>
    <w:lsdException w:name="Outline List 1" w:uiPriority="99" w:semiHidden="1" w:unhideWhenUsed="1"/>
    <w:lsdException w:name="Bibliography" w:uiPriority="37" w:semiHidden="1" w:unhideWhenUsed="1"/>
    <w:lsdException w:name="Plain Table 4" w:uiPriority="44"/>
    <w:lsdException w:name="Colorful Grid Accent 5" w:uiPriority="73"/>
    <w:lsdException w:name="List Table 6 Colorful Accent 2" w:uiPriority="51"/>
    <w:lsdException w:name="List Table 4 Accent 5" w:uiPriority="49"/>
    <w:lsdException w:name="Medium Shading 2 Accent 1" w:uiPriority="64"/>
    <w:lsdException w:name="Grid Table 6 Colorful Accent 4" w:uiPriority="51"/>
    <w:lsdException w:name="Medium Grid 1 Accent 1" w:uiPriority="67"/>
    <w:lsdException w:name="Grid Table 3 Accent 5" w:uiPriority="48"/>
    <w:lsdException w:name="footnote text" w:uiPriority="99" w:semiHidden="1" w:unhideWhenUsed="1"/>
    <w:lsdException w:name="HTML Code" w:uiPriority="99"/>
    <w:lsdException w:name="Light List Accent 1" w:uiPriority="61"/>
    <w:lsdException w:name="Medium Grid 3 Accent 6" w:uiPriority="69"/>
    <w:lsdException w:name="Grid Table 1 Light Accent 5" w:uiPriority="46"/>
    <w:lsdException w:name="List Table 2" w:uiPriority="47"/>
    <w:lsdException w:name="List Table 5 Dark Accent 1" w:uiPriority="50"/>
    <w:lsdException w:name="List Table 4 Accent 2" w:uiPriority="49"/>
    <w:lsdException w:name="Grid Table 3 Accent 4" w:uiPriority="48"/>
    <w:lsdException w:name="toc 7" w:uiPriority="99"/>
    <w:lsdException w:name="Grid Table 1 Light" w:uiPriority="46"/>
    <w:lsdException w:name="Colorful List Accent 1" w:uiPriority="72"/>
    <w:lsdException w:name="Colorful Shading Accent 5" w:uiPriority="71"/>
    <w:lsdException w:name="List Table 3 Accent 3" w:uiPriority="48"/>
    <w:lsdException w:name="Light Shading Accent 2" w:uiPriority="60"/>
    <w:lsdException w:name="Table List 6" w:semiHidden="1" w:unhideWhenUsed="1"/>
    <w:lsdException w:name="Light Shading Accent 1" w:uiPriority="60"/>
    <w:lsdException w:name="Grid Table 3 Accent 6" w:uiPriority="48"/>
    <w:lsdException w:name="HTML Keyboard" w:uiPriority="99"/>
    <w:lsdException w:name="Table List 3" w:semiHidden="1" w:unhideWhenUsed="1"/>
    <w:lsdException w:name="heading 4" w:qFormat="1"/>
    <w:lsdException w:name="Grid Table 5 Dark" w:uiPriority="50"/>
    <w:lsdException w:name="Colorful Shading Accent 2" w:uiPriority="71"/>
    <w:lsdException w:name="HTML Typewriter" w:uiPriority="99"/>
    <w:lsdException w:name="Medium Shading 2" w:uiPriority="64"/>
    <w:lsdException w:name="Outline List 2" w:uiPriority="99" w:semiHidden="1" w:unhideWhenUsed="1"/>
    <w:lsdException w:name="Grid Table 7 Colorful" w:uiPriority="52"/>
    <w:lsdException w:name="Medium Shading 1 Accent 3" w:uiPriority="63"/>
    <w:lsdException w:name="Table List 8" w:semiHidden="1" w:unhideWhenUsed="1"/>
    <w:lsdException w:name="toc 4" w:uiPriority="99"/>
    <w:lsdException w:name="HTML Cite" w:uiPriority="99"/>
    <w:lsdException w:name="Table List 4" w:semiHidden="1" w:unhideWhenUsed="1"/>
    <w:lsdException w:name="Medium Shading 2 Accent 3" w:uiPriority="64"/>
    <w:lsdException w:name="Hashtag" w:uiPriority="99" w:semiHidden="1" w:unhideWhenUsed="1"/>
    <w:lsdException w:name="List Table 7 Colorful Accent 6" w:uiPriority="52"/>
    <w:lsdException w:name="List Table 2 Accent 2" w:uiPriority="47"/>
    <w:lsdException w:name="Mention" w:uiPriority="99" w:semiHidden="1" w:unhideWhenUsed="1"/>
    <w:lsdException w:name="Table Contemporary" w:semiHidden="1" w:unhideWhenUsed="1"/>
    <w:lsdException w:name="Medium List 1 Accent 3" w:uiPriority="65"/>
    <w:lsdException w:name="heading 7" w:unhideWhenUsed="1" w:qFormat="1"/>
    <w:lsdException w:name="Outline List 3" w:uiPriority="99" w:semiHidden="1" w:unhideWhenUsed="1"/>
    <w:lsdException w:name="Medium List 1 Accent 2" w:uiPriority="65"/>
    <w:lsdException w:name="Table Colorful 3" w:semiHidden="1" w:unhideWhenUsed="1"/>
    <w:lsdException w:name="Grid Table 3 Accent 2" w:uiPriority="48"/>
    <w:lsdException w:name="Table Web 2" w:semiHidden="1" w:unhideWhenUsed="1"/>
    <w:lsdException w:name="Plain Table 1" w:uiPriority="41"/>
    <w:lsdException w:name="Light List Accent 2" w:uiPriority="61"/>
    <w:lsdException w:name="Grid Table 7 Colorful Accent 1" w:uiPriority="52"/>
    <w:lsdException w:name="Medium Grid 1 Accent 5" w:uiPriority="67"/>
    <w:lsdException w:name="Medium Shading 2 Accent 2" w:uiPriority="64"/>
    <w:lsdException w:name="Intense Emphasis" w:uiPriority="21" w:qFormat="1"/>
    <w:lsdException w:name="Grid Table 3" w:uiPriority="48"/>
    <w:lsdException w:name="List Table 5 Dark" w:uiPriority="50"/>
    <w:lsdException w:name="Medium Grid 3 Accent 4" w:uiPriority="69"/>
    <w:lsdException w:name="Table Columns 1" w:semiHidden="1" w:unhideWhenUsed="1"/>
    <w:lsdException w:name="Medium Shading 1 Accent 5" w:uiPriority="63"/>
    <w:lsdException w:name="Light Shading Accent 5" w:uiPriority="60"/>
    <w:lsdException w:name="Table Classic 2" w:semiHidden="1" w:unhideWhenUsed="1"/>
    <w:lsdException w:name="List Table 4 Accent 4" w:uiPriority="49"/>
    <w:lsdException w:name="caption" w:semiHidden="1" w:unhideWhenUsed="1" w:qFormat="1"/>
    <w:lsdException w:name="Grid Table 4 Accent 5" w:uiPriority="49"/>
    <w:lsdException w:name="Colorful Grid Accent 4" w:uiPriority="73"/>
    <w:lsdException w:name="Grid Table 2 Accent 3" w:uiPriority="47"/>
    <w:lsdException w:name="Colorful List Accent 4" w:uiPriority="72"/>
  </w:latentStyles>
  <w:style w:type="paragraph" w:styleId="fvngkc">
    <w:name w:val="heading 1"/>
    <w:basedOn w:val="5znyks"/>
    <w:next w:val="5znyks"/>
    <w:uiPriority w:val="9"/>
    <w:qFormat w:val="1"/>
    <w:pPr>
      <w:keepNext w:val="1"/>
      <w:keepLines w:val="1"/>
      <w:spacing w:before="0" w:after="0" w:line="408" w:lineRule="auto"/>
      <w:outlineLvl w:val="0"/>
    </w:pPr>
    <w:rPr>
      <w:b w:val="1"/>
      <w:bCs w:val="1"/>
      <w:color w:val="1A1A1A"/>
      <w:sz w:val="36"/>
      <w:szCs w:val="36"/>
    </w:rPr>
  </w:style>
  <w:style w:type="character" w:styleId="sc2vtw">
    <w:name w:val="Hyperlink"/>
    <w:basedOn w:val=""/>
    <w:next w:val=""/>
    <w:uiPriority w:val="99"/>
    <w:unhideWhenUsed w:val="1"/>
    <w:pPr/>
    <w:rPr>
      <w:color w:val="1E6FFF" w:themeColor="hyperlink"/>
      <w:u w:val="single"/>
    </w:rPr>
  </w:style>
  <w:style w:type="character" w:styleId="iolvv3">
    <w:name w:val="Hyperlink"/>
    <w:basedOn w:val=""/>
    <w:next w:val=""/>
    <w:uiPriority w:val="99"/>
    <w:unhideWhenUsed w:val="1"/>
    <w:pPr/>
    <w:rPr>
      <w:color w:val="1E6FFF" w:themeColor="hyperlink"/>
      <w:u w:val="single"/>
    </w:rPr>
  </w:style>
  <w:style w:type="paragraph" w:styleId="04zz3m">
    <w:name w:val="heading 2"/>
    <w:basedOn w:val="5znyks"/>
    <w:next w:val="5znyks"/>
    <w:uiPriority w:val="9"/>
    <w:qFormat w:val="1"/>
    <w:pPr>
      <w:keepNext w:val="1"/>
      <w:keepLines w:val="1"/>
      <w:spacing w:before="0" w:after="0" w:line="408" w:lineRule="auto"/>
      <w:outlineLvl w:val="1"/>
    </w:pPr>
    <w:rPr>
      <w:b w:val="1"/>
      <w:bCs w:val="1"/>
      <w:color w:val="1A1A1A"/>
      <w:sz w:val="32"/>
      <w:szCs w:val="32"/>
    </w:rPr>
  </w:style>
  <w:style w:type="paragraph" w:styleId="ahkdxm">
    <w:name w:val="Title"/>
    <w:basedOn w:val="shjalb"/>
    <w:next w:val="5znyks"/>
    <w:uiPriority w:val="9"/>
    <w:qFormat w:val="1"/>
    <w:pPr>
      <w:keepNext w:val="1"/>
      <w:keepLines w:val="1"/>
      <w:spacing w:before="0" w:after="0" w:line="408" w:lineRule="auto"/>
      <w:jc w:val="center"/>
      <w:outlineLvl w:val="0"/>
    </w:pPr>
    <w:rPr>
      <w:b w:val="1"/>
      <w:bCs w:val="1"/>
      <w:color w:val="1A1A1A"/>
      <w:sz w:val="48"/>
      <w:szCs w:val="48"/>
    </w:rPr>
  </w:style>
  <w:style w:type="paragraph" w:styleId="d34bfx">
    <w:name w:val="heading 3"/>
    <w:basedOn w:val="5znyks"/>
    <w:next w:val="5znyks"/>
    <w:uiPriority w:val="9"/>
    <w:qFormat w:val="1"/>
    <w:pPr>
      <w:keepNext w:val="1"/>
      <w:keepLines w:val="1"/>
      <w:spacing w:before="0" w:after="0" w:line="408" w:lineRule="auto"/>
      <w:outlineLvl w:val="2"/>
    </w:pPr>
    <w:rPr>
      <w:b w:val="1"/>
      <w:bCs w:val="1"/>
      <w:color w:val="1A1A1A"/>
      <w:sz w:val="28"/>
      <w:szCs w:val="28"/>
    </w:rPr>
  </w:style>
  <w:style w:type="character" w:styleId="85yc3h" w:default="1">
    <w:name w:val="Default Paragraph Font"/>
    <w:basedOn w:val=""/>
    <w:next w:val=""/>
    <w:uiPriority w:val="1"/>
    <w:semiHidden w:val="1"/>
    <w:unhideWhenUsed w:val="1"/>
  </w:style>
  <w:style w:type="paragraph" w:styleId="shjalb" w:default="1">
    <w:name w:val="Normal"/>
    <w:basedOn w:val=""/>
    <w:next w:val=""/>
    <w:qFormat w:val="1"/>
    <w:pPr>
      <w:widowControl w:val="0"/>
      <w:jc w:val="left"/>
    </w:pPr>
  </w:style>
  <w:style w:type="paragraph" w:styleId="jo4jfy">
    <w:name w:val="Subtitle"/>
    <w:basedOn w:val="5znyks"/>
    <w:next w:val="5znyks"/>
    <w:uiPriority w:val="9"/>
    <w:qFormat w:val="1"/>
    <w:pPr>
      <w:keepNext w:val="1"/>
      <w:keepLines w:val="1"/>
      <w:spacing w:before="0" w:after="0" w:line="408" w:lineRule="auto"/>
      <w:jc w:val="center"/>
      <w:outlineLvl w:val="1"/>
    </w:pPr>
    <w:rPr>
      <w:b w:val="1"/>
      <w:bCs w:val="1"/>
      <w:color w:val="5C5C5C"/>
      <w:sz w:val="36"/>
      <w:szCs w:val="36"/>
    </w:rPr>
  </w:style>
  <w:style w:type="paragraph" w:styleId="5znyks" w:default="1">
    <w:name w:val="Normal"/>
    <w:basedOn w:val=""/>
    <w:next w:val=""/>
    <w:qFormat w:val="1"/>
    <w:pPr>
      <w:widowControl w:val="0"/>
      <w:tabs/>
      <w:jc w:val="left"/>
    </w:pPr>
  </w:style>
  <w:style w:type="character" w:styleId="upl4wf" w:default="1">
    <w:name w:val="Default Paragraph Font"/>
    <w:basedOn w:val=""/>
    <w:next w:val=""/>
    <w:uiPriority w:val="1"/>
    <w:semiHidden w:val="1"/>
    <w:unhideWhenUsed w:val="1"/>
  </w:style>
  <w:style w:type="character" w:styleId="5k4cjf" w:default="1">
    <w:name w:val="Default Paragraph Font"/>
    <w:basedOn w:val=""/>
    <w:next w:val=""/>
    <w:uiPriority w:val="1"/>
    <w:semiHidden w:val="1"/>
    <w:unhideWhenUsed w:val="1"/>
  </w:style>
  <w:style w:type="character" w:styleId="ttf87c">
    <w:name w:val="Hyperlink"/>
    <w:basedOn w:val=""/>
    <w:next w:val=""/>
    <w:uiPriority w:val="99"/>
    <w:unhideWhenUsed w:val="1"/>
    <w:pPr/>
    <w:rPr>
      <w:color w:val="1E6FFF" w:themeColor="hyperlink"/>
      <w:u w:val="single"/>
    </w:rPr>
  </w:style>
  <w:style w:type="character" w:styleId="0ztxpy" w:default="1">
    <w:name w:val="Default Paragraph Font"/>
    <w:basedOn w:val=""/>
    <w:next w:val=""/>
    <w:uiPriority w:val="1"/>
    <w:semiHidden w:val="1"/>
    <w:unhideWhenUsed w:val="1"/>
  </w:style>
  <w:style w:type="character" w:styleId="78s8xm">
    <w:name w:val="Hyperlink"/>
    <w:basedOn w:val="5k4cjf"/>
    <w:next w:val=""/>
    <w:uiPriority w:val="99"/>
    <w:unhideWhenUsed w:val="1"/>
    <w:rPr>
      <w:color w:val="1E6FFF" w:themeColor="hyperlink"/>
      <w:u w:val="single"/>
    </w:rPr>
  </w:style>
  <w:style w:type="paragraph" w:styleId="ly6cue">
    <w:name w:val="heading 4"/>
    <w:basedOn w:val="5znyks"/>
    <w:next w:val="5znyks"/>
    <w:uiPriority w:val="9"/>
    <w:qFormat w:val="1"/>
    <w:pPr>
      <w:keepNext w:val="1"/>
      <w:keepLines w:val="1"/>
      <w:spacing w:before="0" w:after="0" w:line="408" w:lineRule="auto"/>
      <w:outlineLvl w:val="3"/>
    </w:pPr>
    <w:rPr>
      <w:b w:val="1"/>
      <w:bCs w:val="1"/>
      <w:color w:val="1A1A1A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5.png" /><Relationship Id="rId7" Type="http://schemas.openxmlformats.org/officeDocument/2006/relationships/image" Target="media/image4.png" /><Relationship Id="rId6" Type="http://schemas.openxmlformats.org/officeDocument/2006/relationships/image" Target="media/image3.png" /><Relationship Id="rId4" Type="http://schemas.openxmlformats.org/officeDocument/2006/relationships/image" Target="media/image1.png" /><Relationship Id="rId3" Type="http://schemas.openxmlformats.org/officeDocument/2006/relationships/numbering" Target="numbering.xml" /><Relationship Id="rId2" Type="http://schemas.openxmlformats.org/officeDocument/2006/relationships/fontTable" Target="fontTable.xml" /><Relationship Id="rId15" Type="http://schemas.openxmlformats.org/officeDocument/2006/relationships/image" Target="media/image12.png" /><Relationship Id="rId1" Type="http://schemas.openxmlformats.org/officeDocument/2006/relationships/settings" Target="settings.xml" /><Relationship Id="rId0" Type="http://schemas.openxmlformats.org/officeDocument/2006/relationships/styles" Target="styles.xml" /><Relationship Id="rId5" Type="http://schemas.openxmlformats.org/officeDocument/2006/relationships/image" Target="media/image2.png" /><Relationship Id="rId14" Type="http://schemas.openxmlformats.org/officeDocument/2006/relationships/image" Target="media/image11.png" /><Relationship Id="rId12" Type="http://schemas.openxmlformats.org/officeDocument/2006/relationships/image" Target="media/image9.png" /><Relationship Id="rId9" Type="http://schemas.openxmlformats.org/officeDocument/2006/relationships/image" Target="media/image6.png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3" Type="http://schemas.openxmlformats.org/officeDocument/2006/relationships/image" Target="media/image10.png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2026-09-30T07:56:53Z</dcterms:created>
  <dcterms:modified xsi:type="dcterms:W3CDTF">2026-09-30T07:56:53Z</dcterms:modified>
</cp:coreProperties>
</file>